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A8D" w:rsidRDefault="00542665">
      <w:pPr>
        <w:pStyle w:val="Nosaukums"/>
      </w:pPr>
      <w:r>
        <w:t>PATENTU VALDE</w:t>
      </w:r>
    </w:p>
    <w:p w:rsidR="00082A8D" w:rsidRDefault="00082A8D">
      <w:pPr>
        <w:pStyle w:val="Pamatteksts"/>
        <w:spacing w:before="3" w:after="1"/>
        <w:ind w:left="0" w:firstLine="0"/>
        <w:jc w:val="left"/>
        <w:rPr>
          <w:b/>
          <w:sz w:val="11"/>
        </w:rPr>
      </w:pPr>
    </w:p>
    <w:tbl>
      <w:tblPr>
        <w:tblStyle w:val="TableNormal"/>
        <w:tblW w:w="0" w:type="auto"/>
        <w:tblInd w:w="6599" w:type="dxa"/>
        <w:tblLayout w:type="fixed"/>
        <w:tblLook w:val="01E0" w:firstRow="1" w:lastRow="1" w:firstColumn="1" w:lastColumn="1" w:noHBand="0" w:noVBand="0"/>
      </w:tblPr>
      <w:tblGrid>
        <w:gridCol w:w="1026"/>
        <w:gridCol w:w="1794"/>
      </w:tblGrid>
      <w:tr w:rsidR="00082A8D">
        <w:trPr>
          <w:trHeight w:val="227"/>
        </w:trPr>
        <w:tc>
          <w:tcPr>
            <w:tcW w:w="1026" w:type="dxa"/>
          </w:tcPr>
          <w:p w:rsidR="00082A8D" w:rsidRDefault="00542665">
            <w:pPr>
              <w:pStyle w:val="TableParagraph"/>
              <w:spacing w:line="208" w:lineRule="exact"/>
              <w:ind w:left="200"/>
              <w:rPr>
                <w:sz w:val="20"/>
              </w:rPr>
            </w:pPr>
            <w:r>
              <w:rPr>
                <w:sz w:val="20"/>
              </w:rPr>
              <w:t>Adrese:</w:t>
            </w:r>
          </w:p>
        </w:tc>
        <w:tc>
          <w:tcPr>
            <w:tcW w:w="1794" w:type="dxa"/>
          </w:tcPr>
          <w:p w:rsidR="00082A8D" w:rsidRDefault="00542665">
            <w:pPr>
              <w:pStyle w:val="TableParagraph"/>
              <w:spacing w:line="208" w:lineRule="exact"/>
              <w:ind w:right="214"/>
              <w:jc w:val="right"/>
              <w:rPr>
                <w:sz w:val="20"/>
              </w:rPr>
            </w:pPr>
            <w:r>
              <w:rPr>
                <w:sz w:val="20"/>
              </w:rPr>
              <w:t>Citadeles iela 7/70</w:t>
            </w:r>
          </w:p>
        </w:tc>
      </w:tr>
      <w:tr w:rsidR="00082A8D">
        <w:trPr>
          <w:trHeight w:val="236"/>
        </w:trPr>
        <w:tc>
          <w:tcPr>
            <w:tcW w:w="1026" w:type="dxa"/>
          </w:tcPr>
          <w:p w:rsidR="00082A8D" w:rsidRDefault="00082A8D">
            <w:pPr>
              <w:pStyle w:val="TableParagraph"/>
              <w:spacing w:line="240" w:lineRule="auto"/>
              <w:rPr>
                <w:sz w:val="16"/>
              </w:rPr>
            </w:pPr>
          </w:p>
        </w:tc>
        <w:tc>
          <w:tcPr>
            <w:tcW w:w="1794" w:type="dxa"/>
          </w:tcPr>
          <w:p w:rsidR="00082A8D" w:rsidRDefault="00542665">
            <w:pPr>
              <w:pStyle w:val="TableParagraph"/>
              <w:ind w:right="200"/>
              <w:jc w:val="right"/>
              <w:rPr>
                <w:sz w:val="20"/>
              </w:rPr>
            </w:pPr>
            <w:r>
              <w:rPr>
                <w:sz w:val="20"/>
              </w:rPr>
              <w:t>Rīga, LV-1010</w:t>
            </w:r>
          </w:p>
        </w:tc>
      </w:tr>
      <w:tr w:rsidR="00082A8D">
        <w:trPr>
          <w:trHeight w:val="236"/>
        </w:trPr>
        <w:tc>
          <w:tcPr>
            <w:tcW w:w="1026" w:type="dxa"/>
          </w:tcPr>
          <w:p w:rsidR="00082A8D" w:rsidRDefault="00542665">
            <w:pPr>
              <w:pStyle w:val="TableParagraph"/>
              <w:ind w:left="200"/>
              <w:rPr>
                <w:sz w:val="20"/>
              </w:rPr>
            </w:pPr>
            <w:r>
              <w:rPr>
                <w:sz w:val="20"/>
              </w:rPr>
              <w:t>Telefoni:</w:t>
            </w:r>
          </w:p>
        </w:tc>
        <w:tc>
          <w:tcPr>
            <w:tcW w:w="1794" w:type="dxa"/>
          </w:tcPr>
          <w:p w:rsidR="00082A8D" w:rsidRDefault="00542665">
            <w:pPr>
              <w:pStyle w:val="TableParagraph"/>
              <w:ind w:right="199"/>
              <w:jc w:val="right"/>
              <w:rPr>
                <w:sz w:val="20"/>
              </w:rPr>
            </w:pPr>
            <w:r>
              <w:rPr>
                <w:sz w:val="20"/>
              </w:rPr>
              <w:t>67 226 628</w:t>
            </w:r>
          </w:p>
        </w:tc>
      </w:tr>
      <w:tr w:rsidR="00082A8D">
        <w:trPr>
          <w:trHeight w:val="230"/>
        </w:trPr>
        <w:tc>
          <w:tcPr>
            <w:tcW w:w="1026" w:type="dxa"/>
          </w:tcPr>
          <w:p w:rsidR="00082A8D" w:rsidRDefault="00082A8D">
            <w:pPr>
              <w:pStyle w:val="TableParagraph"/>
              <w:spacing w:line="240" w:lineRule="auto"/>
              <w:rPr>
                <w:sz w:val="16"/>
              </w:rPr>
            </w:pPr>
          </w:p>
        </w:tc>
        <w:tc>
          <w:tcPr>
            <w:tcW w:w="1794" w:type="dxa"/>
          </w:tcPr>
          <w:p w:rsidR="00082A8D" w:rsidRDefault="00542665">
            <w:pPr>
              <w:pStyle w:val="TableParagraph"/>
              <w:spacing w:line="210" w:lineRule="exact"/>
              <w:ind w:right="199"/>
              <w:jc w:val="right"/>
              <w:rPr>
                <w:sz w:val="20"/>
              </w:rPr>
            </w:pPr>
            <w:r>
              <w:rPr>
                <w:sz w:val="20"/>
              </w:rPr>
              <w:t>67 099 600</w:t>
            </w:r>
          </w:p>
        </w:tc>
      </w:tr>
      <w:tr w:rsidR="00082A8D">
        <w:trPr>
          <w:trHeight w:val="223"/>
        </w:trPr>
        <w:tc>
          <w:tcPr>
            <w:tcW w:w="1026" w:type="dxa"/>
          </w:tcPr>
          <w:p w:rsidR="00082A8D" w:rsidRDefault="00542665">
            <w:pPr>
              <w:pStyle w:val="TableParagraph"/>
              <w:spacing w:line="203" w:lineRule="exact"/>
              <w:ind w:left="200"/>
              <w:rPr>
                <w:sz w:val="20"/>
              </w:rPr>
            </w:pPr>
            <w:r>
              <w:rPr>
                <w:sz w:val="20"/>
              </w:rPr>
              <w:t>Fakss:</w:t>
            </w:r>
          </w:p>
        </w:tc>
        <w:tc>
          <w:tcPr>
            <w:tcW w:w="1794" w:type="dxa"/>
          </w:tcPr>
          <w:p w:rsidR="00082A8D" w:rsidRDefault="00542665">
            <w:pPr>
              <w:pStyle w:val="TableParagraph"/>
              <w:spacing w:line="203" w:lineRule="exact"/>
              <w:ind w:right="199"/>
              <w:jc w:val="right"/>
              <w:rPr>
                <w:sz w:val="20"/>
              </w:rPr>
            </w:pPr>
            <w:r>
              <w:rPr>
                <w:sz w:val="20"/>
              </w:rPr>
              <w:t>67 099 650</w:t>
            </w:r>
          </w:p>
        </w:tc>
      </w:tr>
    </w:tbl>
    <w:p w:rsidR="00082A8D" w:rsidRDefault="00082A8D">
      <w:pPr>
        <w:pStyle w:val="Pamatteksts"/>
        <w:ind w:left="0" w:firstLine="0"/>
        <w:jc w:val="left"/>
        <w:rPr>
          <w:b/>
          <w:sz w:val="44"/>
        </w:rPr>
      </w:pPr>
    </w:p>
    <w:p w:rsidR="00082A8D" w:rsidRDefault="00542665">
      <w:pPr>
        <w:spacing w:line="242" w:lineRule="auto"/>
        <w:ind w:left="3944" w:right="628" w:hanging="3272"/>
        <w:rPr>
          <w:b/>
          <w:sz w:val="28"/>
        </w:rPr>
      </w:pPr>
      <w:r>
        <w:rPr>
          <w:b/>
          <w:sz w:val="28"/>
        </w:rPr>
        <w:t>RŪPNIECISKĀ ĪPAŠUMA TIESISKĀ AIZSARDZĪBA LATVIJAS REPUBLIKĀ</w:t>
      </w:r>
    </w:p>
    <w:p w:rsidR="00082A8D" w:rsidRDefault="00542665">
      <w:pPr>
        <w:pStyle w:val="Virsraksts1"/>
        <w:spacing w:line="275" w:lineRule="exact"/>
        <w:ind w:left="1273" w:right="1100" w:firstLine="0"/>
        <w:jc w:val="center"/>
      </w:pPr>
      <w:r>
        <w:t xml:space="preserve">Profesionālo </w:t>
      </w:r>
      <w:proofErr w:type="spellStart"/>
      <w:r>
        <w:t>patentpilnvarnieku</w:t>
      </w:r>
      <w:proofErr w:type="spellEnd"/>
      <w:r>
        <w:t xml:space="preserve"> kvalifikācijas eksāmena programma</w:t>
      </w:r>
    </w:p>
    <w:p w:rsidR="00082A8D" w:rsidRDefault="00082A8D">
      <w:pPr>
        <w:pStyle w:val="Pamatteksts"/>
        <w:ind w:left="0" w:firstLine="0"/>
        <w:jc w:val="left"/>
        <w:rPr>
          <w:b/>
          <w:sz w:val="26"/>
        </w:rPr>
      </w:pPr>
    </w:p>
    <w:p w:rsidR="00082A8D" w:rsidRDefault="00542665">
      <w:pPr>
        <w:pStyle w:val="Sarakstarindkopa"/>
        <w:numPr>
          <w:ilvl w:val="0"/>
          <w:numId w:val="2"/>
        </w:numPr>
        <w:tabs>
          <w:tab w:val="left" w:pos="361"/>
        </w:tabs>
        <w:spacing w:before="208"/>
        <w:rPr>
          <w:b/>
          <w:sz w:val="24"/>
        </w:rPr>
      </w:pPr>
      <w:r>
        <w:rPr>
          <w:b/>
          <w:sz w:val="24"/>
        </w:rPr>
        <w:t>Vispārīgie</w:t>
      </w:r>
      <w:r>
        <w:rPr>
          <w:b/>
          <w:spacing w:val="-9"/>
          <w:sz w:val="24"/>
        </w:rPr>
        <w:t xml:space="preserve"> </w:t>
      </w:r>
      <w:r>
        <w:rPr>
          <w:b/>
          <w:sz w:val="24"/>
        </w:rPr>
        <w:t>nosacījumi</w:t>
      </w:r>
    </w:p>
    <w:p w:rsidR="00082A8D" w:rsidRDefault="00082A8D">
      <w:pPr>
        <w:pStyle w:val="Pamatteksts"/>
        <w:spacing w:before="2"/>
        <w:ind w:left="0" w:firstLine="0"/>
        <w:jc w:val="left"/>
        <w:rPr>
          <w:b/>
          <w:sz w:val="22"/>
        </w:rPr>
      </w:pPr>
    </w:p>
    <w:p w:rsidR="00082A8D" w:rsidRDefault="00542665">
      <w:pPr>
        <w:pStyle w:val="Sarakstarindkopa"/>
        <w:numPr>
          <w:ilvl w:val="1"/>
          <w:numId w:val="2"/>
        </w:numPr>
        <w:tabs>
          <w:tab w:val="left" w:pos="687"/>
        </w:tabs>
        <w:ind w:right="148"/>
        <w:rPr>
          <w:sz w:val="24"/>
        </w:rPr>
      </w:pPr>
      <w:r>
        <w:rPr>
          <w:sz w:val="24"/>
        </w:rPr>
        <w:t xml:space="preserve">Profesionālo </w:t>
      </w:r>
      <w:proofErr w:type="spellStart"/>
      <w:r>
        <w:rPr>
          <w:sz w:val="24"/>
        </w:rPr>
        <w:t>patentpilnvarnieku</w:t>
      </w:r>
      <w:proofErr w:type="spellEnd"/>
      <w:r>
        <w:rPr>
          <w:sz w:val="24"/>
        </w:rPr>
        <w:t xml:space="preserve"> kvalifikācijas eksāmena programma (turpmāk – programma) izstrādāta saskaņā ar Ministru kabineta 2016. gada 8. marta noteikumiem Nr. 146 “Noteikumi par profesionālo </w:t>
      </w:r>
      <w:proofErr w:type="spellStart"/>
      <w:r>
        <w:rPr>
          <w:sz w:val="24"/>
        </w:rPr>
        <w:t>patentpilnvarnieku</w:t>
      </w:r>
      <w:proofErr w:type="spellEnd"/>
      <w:r>
        <w:rPr>
          <w:sz w:val="24"/>
        </w:rPr>
        <w:t xml:space="preserve"> sarakstu, tā uzturēšanas kārtību un profesionālo </w:t>
      </w:r>
      <w:proofErr w:type="spellStart"/>
      <w:r>
        <w:rPr>
          <w:sz w:val="24"/>
        </w:rPr>
        <w:t>patentpilnvarnieku</w:t>
      </w:r>
      <w:proofErr w:type="spellEnd"/>
      <w:r>
        <w:rPr>
          <w:sz w:val="24"/>
        </w:rPr>
        <w:t xml:space="preserve"> kvalifikācijas eksāmena kārtību” un pamatojoties uz Latvijas Republikā spēkā esošo normatīvo aktu prasībām rūpnieciskā īpašuma tiesiskās aizsardzības</w:t>
      </w:r>
      <w:r>
        <w:rPr>
          <w:spacing w:val="-1"/>
          <w:sz w:val="24"/>
        </w:rPr>
        <w:t xml:space="preserve"> </w:t>
      </w:r>
      <w:r>
        <w:rPr>
          <w:sz w:val="24"/>
        </w:rPr>
        <w:t>jomā.</w:t>
      </w:r>
    </w:p>
    <w:p w:rsidR="00082A8D" w:rsidRDefault="00082A8D">
      <w:pPr>
        <w:pStyle w:val="Pamatteksts"/>
        <w:spacing w:before="5"/>
        <w:ind w:left="0" w:firstLine="0"/>
        <w:jc w:val="left"/>
      </w:pPr>
    </w:p>
    <w:p w:rsidR="00082A8D" w:rsidRDefault="00542665">
      <w:pPr>
        <w:pStyle w:val="Sarakstarindkopa"/>
        <w:numPr>
          <w:ilvl w:val="1"/>
          <w:numId w:val="2"/>
        </w:numPr>
        <w:tabs>
          <w:tab w:val="left" w:pos="687"/>
        </w:tabs>
        <w:rPr>
          <w:sz w:val="24"/>
        </w:rPr>
      </w:pPr>
      <w:r>
        <w:rPr>
          <w:sz w:val="24"/>
        </w:rPr>
        <w:t>Programmā ietverti šādi galvenie jautājumi:</w:t>
      </w:r>
    </w:p>
    <w:p w:rsidR="00082A8D" w:rsidRDefault="00082A8D">
      <w:pPr>
        <w:pStyle w:val="Pamatteksts"/>
        <w:spacing w:before="3"/>
        <w:ind w:left="0" w:firstLine="0"/>
        <w:jc w:val="left"/>
      </w:pPr>
    </w:p>
    <w:p w:rsidR="00082A8D" w:rsidRDefault="00542665">
      <w:pPr>
        <w:pStyle w:val="Sarakstarindkopa"/>
        <w:numPr>
          <w:ilvl w:val="2"/>
          <w:numId w:val="2"/>
        </w:numPr>
        <w:tabs>
          <w:tab w:val="left" w:pos="1076"/>
        </w:tabs>
        <w:ind w:right="146"/>
        <w:jc w:val="both"/>
        <w:rPr>
          <w:sz w:val="24"/>
        </w:rPr>
      </w:pPr>
      <w:r>
        <w:rPr>
          <w:sz w:val="24"/>
        </w:rPr>
        <w:t>rūpnieciskais īpašums, tā vieta intelektuālā īpašuma tiesību sistēmā; rūpnieciskā īpašuma objekti, to tiesiskā aizsardzība un tiesību īstenošana – vispārīgie jēdzieni un termini;</w:t>
      </w:r>
    </w:p>
    <w:p w:rsidR="00082A8D" w:rsidRDefault="00082A8D">
      <w:pPr>
        <w:pStyle w:val="Pamatteksts"/>
        <w:spacing w:before="9"/>
        <w:ind w:left="0" w:firstLine="0"/>
        <w:jc w:val="left"/>
        <w:rPr>
          <w:sz w:val="23"/>
        </w:rPr>
      </w:pPr>
    </w:p>
    <w:p w:rsidR="00082A8D" w:rsidRDefault="00542665">
      <w:pPr>
        <w:pStyle w:val="Sarakstarindkopa"/>
        <w:numPr>
          <w:ilvl w:val="2"/>
          <w:numId w:val="2"/>
        </w:numPr>
        <w:tabs>
          <w:tab w:val="left" w:pos="1075"/>
          <w:tab w:val="left" w:pos="1076"/>
        </w:tabs>
        <w:ind w:right="1220"/>
        <w:jc w:val="left"/>
        <w:rPr>
          <w:sz w:val="24"/>
        </w:rPr>
      </w:pPr>
      <w:r>
        <w:rPr>
          <w:sz w:val="24"/>
        </w:rPr>
        <w:t>Latvijas Republikas tiesību akti, kas saistīti ar rūpnieciskā īpašuma</w:t>
      </w:r>
      <w:r>
        <w:rPr>
          <w:spacing w:val="-25"/>
          <w:sz w:val="24"/>
        </w:rPr>
        <w:t xml:space="preserve"> </w:t>
      </w:r>
      <w:r>
        <w:rPr>
          <w:sz w:val="24"/>
        </w:rPr>
        <w:t>tiesisko aizsardzību, it</w:t>
      </w:r>
      <w:r>
        <w:rPr>
          <w:spacing w:val="-2"/>
          <w:sz w:val="24"/>
        </w:rPr>
        <w:t xml:space="preserve"> </w:t>
      </w:r>
      <w:r>
        <w:rPr>
          <w:sz w:val="24"/>
        </w:rPr>
        <w:t>īpaši:</w:t>
      </w:r>
    </w:p>
    <w:p w:rsidR="00082A8D" w:rsidRDefault="00542665">
      <w:pPr>
        <w:pStyle w:val="Sarakstarindkopa"/>
        <w:numPr>
          <w:ilvl w:val="3"/>
          <w:numId w:val="2"/>
        </w:numPr>
        <w:tabs>
          <w:tab w:val="left" w:pos="1536"/>
          <w:tab w:val="left" w:pos="1537"/>
        </w:tabs>
        <w:spacing w:line="274" w:lineRule="exact"/>
        <w:ind w:hanging="364"/>
        <w:jc w:val="left"/>
        <w:rPr>
          <w:sz w:val="24"/>
        </w:rPr>
      </w:pPr>
      <w:r>
        <w:rPr>
          <w:sz w:val="24"/>
        </w:rPr>
        <w:t>Rūpnieciskā īpašuma institūciju un procedūru</w:t>
      </w:r>
      <w:r>
        <w:rPr>
          <w:spacing w:val="-8"/>
          <w:sz w:val="24"/>
        </w:rPr>
        <w:t xml:space="preserve"> </w:t>
      </w:r>
      <w:r>
        <w:rPr>
          <w:sz w:val="24"/>
        </w:rPr>
        <w:t>likums;</w:t>
      </w:r>
    </w:p>
    <w:p w:rsidR="00082A8D" w:rsidRDefault="00542665">
      <w:pPr>
        <w:pStyle w:val="Sarakstarindkopa"/>
        <w:numPr>
          <w:ilvl w:val="3"/>
          <w:numId w:val="2"/>
        </w:numPr>
        <w:tabs>
          <w:tab w:val="left" w:pos="1536"/>
          <w:tab w:val="left" w:pos="1537"/>
        </w:tabs>
        <w:ind w:hanging="364"/>
        <w:jc w:val="left"/>
        <w:rPr>
          <w:sz w:val="24"/>
        </w:rPr>
      </w:pPr>
      <w:r>
        <w:rPr>
          <w:sz w:val="24"/>
        </w:rPr>
        <w:t>Patentu likums;</w:t>
      </w:r>
    </w:p>
    <w:p w:rsidR="00082A8D" w:rsidRDefault="00542665">
      <w:pPr>
        <w:pStyle w:val="Sarakstarindkopa"/>
        <w:numPr>
          <w:ilvl w:val="3"/>
          <w:numId w:val="2"/>
        </w:numPr>
        <w:tabs>
          <w:tab w:val="left" w:pos="1536"/>
          <w:tab w:val="left" w:pos="1537"/>
        </w:tabs>
        <w:ind w:right="567" w:hanging="360"/>
        <w:jc w:val="left"/>
        <w:rPr>
          <w:sz w:val="24"/>
        </w:rPr>
      </w:pPr>
      <w:r>
        <w:rPr>
          <w:sz w:val="24"/>
        </w:rPr>
        <w:t>Ministru kabineta 2008. gada 1. aprīļa noteikumi Nr. 224 "Patentu un</w:t>
      </w:r>
      <w:r>
        <w:rPr>
          <w:spacing w:val="-31"/>
          <w:sz w:val="24"/>
        </w:rPr>
        <w:t xml:space="preserve"> </w:t>
      </w:r>
      <w:r>
        <w:rPr>
          <w:sz w:val="24"/>
        </w:rPr>
        <w:t>patentu pieteikumu noteikumi";</w:t>
      </w:r>
    </w:p>
    <w:p w:rsidR="00082A8D" w:rsidRDefault="00542665">
      <w:pPr>
        <w:pStyle w:val="Sarakstarindkopa"/>
        <w:numPr>
          <w:ilvl w:val="3"/>
          <w:numId w:val="2"/>
        </w:numPr>
        <w:tabs>
          <w:tab w:val="left" w:pos="1536"/>
          <w:tab w:val="left" w:pos="1537"/>
        </w:tabs>
        <w:ind w:hanging="364"/>
        <w:jc w:val="left"/>
        <w:rPr>
          <w:sz w:val="24"/>
        </w:rPr>
      </w:pPr>
      <w:r>
        <w:rPr>
          <w:sz w:val="24"/>
        </w:rPr>
        <w:t>Preču zīmju</w:t>
      </w:r>
      <w:r>
        <w:rPr>
          <w:spacing w:val="-1"/>
          <w:sz w:val="24"/>
        </w:rPr>
        <w:t xml:space="preserve"> </w:t>
      </w:r>
      <w:r>
        <w:rPr>
          <w:sz w:val="24"/>
        </w:rPr>
        <w:t>likums;</w:t>
      </w:r>
    </w:p>
    <w:p w:rsidR="00082A8D" w:rsidRDefault="00542665">
      <w:pPr>
        <w:pStyle w:val="Sarakstarindkopa"/>
        <w:numPr>
          <w:ilvl w:val="3"/>
          <w:numId w:val="2"/>
        </w:numPr>
        <w:tabs>
          <w:tab w:val="left" w:pos="1536"/>
          <w:tab w:val="left" w:pos="1537"/>
        </w:tabs>
        <w:spacing w:before="3"/>
        <w:ind w:hanging="364"/>
        <w:jc w:val="left"/>
        <w:rPr>
          <w:sz w:val="24"/>
        </w:rPr>
      </w:pPr>
      <w:r>
        <w:rPr>
          <w:sz w:val="24"/>
        </w:rPr>
        <w:t>Dizainparaugu likums;</w:t>
      </w:r>
    </w:p>
    <w:p w:rsidR="00082A8D" w:rsidRDefault="00542665">
      <w:pPr>
        <w:pStyle w:val="Sarakstarindkopa"/>
        <w:numPr>
          <w:ilvl w:val="3"/>
          <w:numId w:val="2"/>
        </w:numPr>
        <w:tabs>
          <w:tab w:val="left" w:pos="1536"/>
          <w:tab w:val="left" w:pos="1537"/>
        </w:tabs>
        <w:spacing w:before="3"/>
        <w:ind w:hanging="364"/>
        <w:jc w:val="left"/>
        <w:rPr>
          <w:sz w:val="24"/>
        </w:rPr>
      </w:pPr>
      <w:r>
        <w:rPr>
          <w:sz w:val="24"/>
        </w:rPr>
        <w:t>Pusvadītāju izstrādājumu topogrāfiju aizsardzības</w:t>
      </w:r>
      <w:r>
        <w:rPr>
          <w:spacing w:val="-1"/>
          <w:sz w:val="24"/>
        </w:rPr>
        <w:t xml:space="preserve"> </w:t>
      </w:r>
      <w:r>
        <w:rPr>
          <w:sz w:val="24"/>
        </w:rPr>
        <w:t>likums;</w:t>
      </w:r>
    </w:p>
    <w:p w:rsidR="00082A8D" w:rsidRDefault="00542665">
      <w:pPr>
        <w:pStyle w:val="Sarakstarindkopa"/>
        <w:numPr>
          <w:ilvl w:val="3"/>
          <w:numId w:val="2"/>
        </w:numPr>
        <w:tabs>
          <w:tab w:val="left" w:pos="1536"/>
          <w:tab w:val="left" w:pos="1537"/>
        </w:tabs>
        <w:ind w:hanging="364"/>
        <w:jc w:val="left"/>
        <w:rPr>
          <w:sz w:val="24"/>
        </w:rPr>
      </w:pPr>
      <w:r>
        <w:rPr>
          <w:sz w:val="24"/>
        </w:rPr>
        <w:t>Konkurences likums (it sevišķi V nodaļa "Negodīga</w:t>
      </w:r>
      <w:r>
        <w:rPr>
          <w:spacing w:val="-3"/>
          <w:sz w:val="24"/>
        </w:rPr>
        <w:t xml:space="preserve"> </w:t>
      </w:r>
      <w:r>
        <w:rPr>
          <w:sz w:val="24"/>
        </w:rPr>
        <w:t>konkurence");</w:t>
      </w:r>
    </w:p>
    <w:p w:rsidR="00082A8D" w:rsidRPr="00C9425D" w:rsidRDefault="00542665">
      <w:pPr>
        <w:pStyle w:val="Sarakstarindkopa"/>
        <w:numPr>
          <w:ilvl w:val="3"/>
          <w:numId w:val="2"/>
        </w:numPr>
        <w:tabs>
          <w:tab w:val="left" w:pos="1536"/>
          <w:tab w:val="left" w:pos="1537"/>
        </w:tabs>
        <w:ind w:hanging="364"/>
        <w:jc w:val="left"/>
        <w:rPr>
          <w:sz w:val="24"/>
        </w:rPr>
      </w:pPr>
      <w:r>
        <w:rPr>
          <w:sz w:val="24"/>
        </w:rPr>
        <w:t xml:space="preserve">Komercnoslēpuma </w:t>
      </w:r>
      <w:r w:rsidRPr="00C9425D">
        <w:rPr>
          <w:sz w:val="24"/>
        </w:rPr>
        <w:t>aizsardzības likums;</w:t>
      </w:r>
    </w:p>
    <w:p w:rsidR="00C9425D" w:rsidRPr="00C9425D" w:rsidRDefault="00C9425D">
      <w:pPr>
        <w:pStyle w:val="Sarakstarindkopa"/>
        <w:numPr>
          <w:ilvl w:val="3"/>
          <w:numId w:val="2"/>
        </w:numPr>
        <w:tabs>
          <w:tab w:val="left" w:pos="1536"/>
          <w:tab w:val="left" w:pos="1537"/>
        </w:tabs>
        <w:ind w:hanging="364"/>
        <w:jc w:val="left"/>
        <w:rPr>
          <w:sz w:val="24"/>
        </w:rPr>
      </w:pPr>
      <w:r w:rsidRPr="00C9425D">
        <w:rPr>
          <w:sz w:val="24"/>
        </w:rPr>
        <w:t>A</w:t>
      </w:r>
      <w:r w:rsidR="00425EBA">
        <w:rPr>
          <w:sz w:val="24"/>
        </w:rPr>
        <w:t>dministratīvās atbildības likums;</w:t>
      </w:r>
    </w:p>
    <w:p w:rsidR="00082A8D" w:rsidRDefault="00542665">
      <w:pPr>
        <w:pStyle w:val="Sarakstarindkopa"/>
        <w:numPr>
          <w:ilvl w:val="3"/>
          <w:numId w:val="2"/>
        </w:numPr>
        <w:tabs>
          <w:tab w:val="left" w:pos="1536"/>
          <w:tab w:val="left" w:pos="1537"/>
        </w:tabs>
        <w:ind w:right="423" w:hanging="360"/>
        <w:jc w:val="left"/>
        <w:rPr>
          <w:sz w:val="24"/>
        </w:rPr>
      </w:pPr>
      <w:r>
        <w:rPr>
          <w:sz w:val="24"/>
        </w:rPr>
        <w:t>Administratīvā procesa likums – vispārīgie principi un jēdzieni; process, ciktāl tas skar procedūras Patentu valdē un Patentu valdes lēmumu</w:t>
      </w:r>
      <w:r>
        <w:rPr>
          <w:spacing w:val="-33"/>
          <w:sz w:val="24"/>
        </w:rPr>
        <w:t xml:space="preserve"> </w:t>
      </w:r>
      <w:r>
        <w:rPr>
          <w:sz w:val="24"/>
        </w:rPr>
        <w:t>pārskatīšanu;</w:t>
      </w:r>
    </w:p>
    <w:p w:rsidR="00082A8D" w:rsidRDefault="00542665">
      <w:pPr>
        <w:pStyle w:val="Sarakstarindkopa"/>
        <w:numPr>
          <w:ilvl w:val="3"/>
          <w:numId w:val="2"/>
        </w:numPr>
        <w:tabs>
          <w:tab w:val="left" w:pos="1537"/>
        </w:tabs>
        <w:spacing w:line="237" w:lineRule="auto"/>
        <w:ind w:right="149" w:hanging="360"/>
        <w:rPr>
          <w:sz w:val="24"/>
        </w:rPr>
      </w:pPr>
      <w:r>
        <w:rPr>
          <w:sz w:val="24"/>
        </w:rPr>
        <w:t>Civilprocesa</w:t>
      </w:r>
      <w:r>
        <w:rPr>
          <w:spacing w:val="-13"/>
          <w:sz w:val="24"/>
        </w:rPr>
        <w:t xml:space="preserve"> </w:t>
      </w:r>
      <w:r>
        <w:rPr>
          <w:sz w:val="24"/>
        </w:rPr>
        <w:t>likums,</w:t>
      </w:r>
      <w:r>
        <w:rPr>
          <w:spacing w:val="-12"/>
          <w:sz w:val="24"/>
        </w:rPr>
        <w:t xml:space="preserve"> </w:t>
      </w:r>
      <w:r>
        <w:rPr>
          <w:sz w:val="24"/>
        </w:rPr>
        <w:t>ciktāl</w:t>
      </w:r>
      <w:r>
        <w:rPr>
          <w:spacing w:val="-9"/>
          <w:sz w:val="24"/>
        </w:rPr>
        <w:t xml:space="preserve"> </w:t>
      </w:r>
      <w:r>
        <w:rPr>
          <w:sz w:val="24"/>
        </w:rPr>
        <w:t>tas</w:t>
      </w:r>
      <w:r>
        <w:rPr>
          <w:spacing w:val="-13"/>
          <w:sz w:val="24"/>
        </w:rPr>
        <w:t xml:space="preserve"> </w:t>
      </w:r>
      <w:r>
        <w:rPr>
          <w:sz w:val="24"/>
        </w:rPr>
        <w:t>attiecas</w:t>
      </w:r>
      <w:r>
        <w:rPr>
          <w:spacing w:val="-9"/>
          <w:sz w:val="24"/>
        </w:rPr>
        <w:t xml:space="preserve"> </w:t>
      </w:r>
      <w:r>
        <w:rPr>
          <w:sz w:val="24"/>
        </w:rPr>
        <w:t>uz</w:t>
      </w:r>
      <w:r>
        <w:rPr>
          <w:spacing w:val="-9"/>
          <w:sz w:val="24"/>
        </w:rPr>
        <w:t xml:space="preserve"> </w:t>
      </w:r>
      <w:r>
        <w:rPr>
          <w:sz w:val="24"/>
        </w:rPr>
        <w:t>rūpnieciskā</w:t>
      </w:r>
      <w:r>
        <w:rPr>
          <w:spacing w:val="-12"/>
          <w:sz w:val="24"/>
        </w:rPr>
        <w:t xml:space="preserve"> </w:t>
      </w:r>
      <w:r>
        <w:rPr>
          <w:sz w:val="24"/>
        </w:rPr>
        <w:t>īpašuma</w:t>
      </w:r>
      <w:r>
        <w:rPr>
          <w:spacing w:val="-15"/>
          <w:sz w:val="24"/>
        </w:rPr>
        <w:t xml:space="preserve"> </w:t>
      </w:r>
      <w:r>
        <w:rPr>
          <w:sz w:val="24"/>
        </w:rPr>
        <w:t>tiesību</w:t>
      </w:r>
      <w:r>
        <w:rPr>
          <w:spacing w:val="-7"/>
          <w:sz w:val="24"/>
        </w:rPr>
        <w:t xml:space="preserve"> </w:t>
      </w:r>
      <w:r>
        <w:rPr>
          <w:sz w:val="24"/>
        </w:rPr>
        <w:t>aizsardzību, it sevišķi 30.</w:t>
      </w:r>
      <w:r>
        <w:rPr>
          <w:sz w:val="24"/>
          <w:vertAlign w:val="superscript"/>
        </w:rPr>
        <w:t>2</w:t>
      </w:r>
      <w:r>
        <w:rPr>
          <w:sz w:val="24"/>
        </w:rPr>
        <w:t xml:space="preserve"> nodaļa "Lietas par intelektuālā īpašuma tiesību pārkāpumiem un aizsardzību" un 30.</w:t>
      </w:r>
      <w:r>
        <w:rPr>
          <w:sz w:val="24"/>
          <w:vertAlign w:val="superscript"/>
        </w:rPr>
        <w:t>3</w:t>
      </w:r>
      <w:r>
        <w:rPr>
          <w:sz w:val="24"/>
        </w:rPr>
        <w:t xml:space="preserve"> nodaļa "Atsevišķu kategoriju lietu izskatīšana rakstveida procesā";</w:t>
      </w:r>
    </w:p>
    <w:p w:rsidR="00082A8D" w:rsidRDefault="00082A8D">
      <w:pPr>
        <w:pStyle w:val="Pamatteksts"/>
        <w:spacing w:before="1"/>
        <w:ind w:left="0" w:firstLine="0"/>
        <w:jc w:val="left"/>
      </w:pPr>
    </w:p>
    <w:p w:rsidR="00082A8D" w:rsidRPr="00C9425D" w:rsidRDefault="00542665" w:rsidP="00C9425D">
      <w:pPr>
        <w:pStyle w:val="Sarakstarindkopa"/>
        <w:numPr>
          <w:ilvl w:val="2"/>
          <w:numId w:val="2"/>
        </w:numPr>
        <w:tabs>
          <w:tab w:val="left" w:pos="829"/>
        </w:tabs>
        <w:spacing w:line="242" w:lineRule="auto"/>
        <w:ind w:left="828" w:right="845" w:hanging="569"/>
        <w:jc w:val="left"/>
        <w:rPr>
          <w:sz w:val="24"/>
        </w:rPr>
      </w:pPr>
      <w:r w:rsidRPr="00C9425D">
        <w:rPr>
          <w:sz w:val="24"/>
        </w:rPr>
        <w:t xml:space="preserve">starptautiskie līgumi un konvencijas, kuri attiecas uz rūpnieciskā </w:t>
      </w:r>
      <w:r w:rsidRPr="00C9425D">
        <w:rPr>
          <w:sz w:val="24"/>
        </w:rPr>
        <w:lastRenderedPageBreak/>
        <w:t>īpašuma</w:t>
      </w:r>
      <w:r w:rsidRPr="00C9425D">
        <w:rPr>
          <w:spacing w:val="-37"/>
          <w:sz w:val="24"/>
        </w:rPr>
        <w:t xml:space="preserve"> </w:t>
      </w:r>
      <w:r w:rsidRPr="00C9425D">
        <w:rPr>
          <w:sz w:val="24"/>
        </w:rPr>
        <w:t>tiesisko aizsardzību un kuru dalībvalsts ir Latvijas Republika, it</w:t>
      </w:r>
      <w:r w:rsidRPr="00C9425D">
        <w:rPr>
          <w:spacing w:val="7"/>
          <w:sz w:val="24"/>
        </w:rPr>
        <w:t xml:space="preserve"> </w:t>
      </w:r>
      <w:r w:rsidRPr="00C9425D">
        <w:rPr>
          <w:sz w:val="24"/>
        </w:rPr>
        <w:t>īpaši:</w:t>
      </w:r>
    </w:p>
    <w:p w:rsidR="00082A8D" w:rsidRDefault="00542665">
      <w:pPr>
        <w:pStyle w:val="Sarakstarindkopa"/>
        <w:numPr>
          <w:ilvl w:val="3"/>
          <w:numId w:val="2"/>
        </w:numPr>
        <w:tabs>
          <w:tab w:val="left" w:pos="1536"/>
          <w:tab w:val="left" w:pos="1537"/>
        </w:tabs>
        <w:ind w:right="754" w:hanging="360"/>
        <w:jc w:val="left"/>
        <w:rPr>
          <w:sz w:val="24"/>
        </w:rPr>
      </w:pPr>
      <w:r>
        <w:rPr>
          <w:sz w:val="24"/>
        </w:rPr>
        <w:t>Parīzes konvencija par rūpnieciskā īpašuma aizsardzību (turpmāk – Parīzes konvencija);</w:t>
      </w:r>
    </w:p>
    <w:p w:rsidR="00082A8D" w:rsidRDefault="00542665">
      <w:pPr>
        <w:pStyle w:val="Sarakstarindkopa"/>
        <w:numPr>
          <w:ilvl w:val="3"/>
          <w:numId w:val="2"/>
        </w:numPr>
        <w:tabs>
          <w:tab w:val="left" w:pos="1536"/>
          <w:tab w:val="left" w:pos="1537"/>
        </w:tabs>
        <w:ind w:right="550" w:hanging="360"/>
        <w:jc w:val="left"/>
        <w:rPr>
          <w:sz w:val="24"/>
        </w:rPr>
      </w:pPr>
      <w:r>
        <w:rPr>
          <w:sz w:val="24"/>
        </w:rPr>
        <w:t>Patentu kooperācijas līgums (</w:t>
      </w:r>
      <w:proofErr w:type="spellStart"/>
      <w:r>
        <w:rPr>
          <w:sz w:val="24"/>
        </w:rPr>
        <w:t>Patent</w:t>
      </w:r>
      <w:proofErr w:type="spellEnd"/>
      <w:r>
        <w:rPr>
          <w:sz w:val="24"/>
        </w:rPr>
        <w:t xml:space="preserve"> </w:t>
      </w:r>
      <w:proofErr w:type="spellStart"/>
      <w:r>
        <w:rPr>
          <w:sz w:val="24"/>
        </w:rPr>
        <w:t>Cooperation</w:t>
      </w:r>
      <w:proofErr w:type="spellEnd"/>
      <w:r>
        <w:rPr>
          <w:sz w:val="24"/>
        </w:rPr>
        <w:t xml:space="preserve"> </w:t>
      </w:r>
      <w:proofErr w:type="spellStart"/>
      <w:r>
        <w:rPr>
          <w:sz w:val="24"/>
        </w:rPr>
        <w:t>Treaty</w:t>
      </w:r>
      <w:proofErr w:type="spellEnd"/>
      <w:r>
        <w:rPr>
          <w:sz w:val="24"/>
        </w:rPr>
        <w:t>, turpmāk – PCT), arī PCT</w:t>
      </w:r>
      <w:r>
        <w:rPr>
          <w:spacing w:val="-1"/>
          <w:sz w:val="24"/>
        </w:rPr>
        <w:t xml:space="preserve"> </w:t>
      </w:r>
      <w:r>
        <w:rPr>
          <w:sz w:val="24"/>
        </w:rPr>
        <w:t>Reglaments;</w:t>
      </w:r>
    </w:p>
    <w:p w:rsidR="00082A8D" w:rsidRDefault="00082A8D">
      <w:pPr>
        <w:rPr>
          <w:sz w:val="24"/>
        </w:rPr>
        <w:sectPr w:rsidR="00082A8D">
          <w:footerReference w:type="default" r:id="rId7"/>
          <w:type w:val="continuous"/>
          <w:pgSz w:w="11940" w:h="16860"/>
          <w:pgMar w:top="1220" w:right="860" w:bottom="800" w:left="1560" w:header="720" w:footer="604" w:gutter="0"/>
          <w:pgNumType w:start="1"/>
          <w:cols w:space="720"/>
        </w:sectPr>
      </w:pPr>
    </w:p>
    <w:p w:rsidR="00082A8D" w:rsidRDefault="00542665">
      <w:pPr>
        <w:pStyle w:val="Sarakstarindkopa"/>
        <w:numPr>
          <w:ilvl w:val="3"/>
          <w:numId w:val="2"/>
        </w:numPr>
        <w:tabs>
          <w:tab w:val="left" w:pos="1537"/>
        </w:tabs>
        <w:spacing w:before="66"/>
        <w:ind w:right="158" w:hanging="360"/>
        <w:rPr>
          <w:sz w:val="24"/>
        </w:rPr>
      </w:pPr>
      <w:r>
        <w:rPr>
          <w:sz w:val="24"/>
        </w:rPr>
        <w:lastRenderedPageBreak/>
        <w:t>Konvencija par Eiropas Patentu piešķiršanu (Eiropas Patentu Konvencija) (turpmāk – EPK), arī Konvencijas par Eiropas patentu piešķiršanu īstenošanas Reglaments;</w:t>
      </w:r>
    </w:p>
    <w:p w:rsidR="00082A8D" w:rsidRDefault="00542665">
      <w:pPr>
        <w:pStyle w:val="Sarakstarindkopa"/>
        <w:numPr>
          <w:ilvl w:val="3"/>
          <w:numId w:val="2"/>
        </w:numPr>
        <w:tabs>
          <w:tab w:val="left" w:pos="1536"/>
          <w:tab w:val="left" w:pos="1537"/>
        </w:tabs>
        <w:spacing w:before="1" w:line="242" w:lineRule="auto"/>
        <w:ind w:right="161" w:hanging="360"/>
        <w:jc w:val="left"/>
        <w:rPr>
          <w:sz w:val="24"/>
        </w:rPr>
      </w:pPr>
      <w:r>
        <w:rPr>
          <w:sz w:val="24"/>
        </w:rPr>
        <w:t>Budapeštas līgums par mikroorganismu depozītu starptautisku atzīšanu patentu procedūrā (turpmāk – Budapeštas</w:t>
      </w:r>
      <w:r>
        <w:rPr>
          <w:spacing w:val="-2"/>
          <w:sz w:val="24"/>
        </w:rPr>
        <w:t xml:space="preserve"> </w:t>
      </w:r>
      <w:r>
        <w:rPr>
          <w:sz w:val="24"/>
        </w:rPr>
        <w:t>līgums);</w:t>
      </w:r>
    </w:p>
    <w:p w:rsidR="00082A8D" w:rsidRDefault="00542665">
      <w:pPr>
        <w:pStyle w:val="Sarakstarindkopa"/>
        <w:numPr>
          <w:ilvl w:val="3"/>
          <w:numId w:val="2"/>
        </w:numPr>
        <w:tabs>
          <w:tab w:val="left" w:pos="1536"/>
          <w:tab w:val="left" w:pos="1537"/>
        </w:tabs>
        <w:ind w:right="148" w:hanging="360"/>
        <w:jc w:val="left"/>
        <w:rPr>
          <w:sz w:val="24"/>
        </w:rPr>
      </w:pPr>
      <w:r>
        <w:rPr>
          <w:sz w:val="24"/>
        </w:rPr>
        <w:t>Preču zīmju līgums (</w:t>
      </w:r>
      <w:proofErr w:type="spellStart"/>
      <w:r>
        <w:rPr>
          <w:sz w:val="24"/>
        </w:rPr>
        <w:t>Trademark</w:t>
      </w:r>
      <w:proofErr w:type="spellEnd"/>
      <w:r>
        <w:rPr>
          <w:sz w:val="24"/>
        </w:rPr>
        <w:t xml:space="preserve"> Law </w:t>
      </w:r>
      <w:proofErr w:type="spellStart"/>
      <w:r>
        <w:rPr>
          <w:sz w:val="24"/>
        </w:rPr>
        <w:t>Treaty</w:t>
      </w:r>
      <w:proofErr w:type="spellEnd"/>
      <w:r>
        <w:rPr>
          <w:sz w:val="24"/>
        </w:rPr>
        <w:t>, turpmāk arī – TLT), arī Preču zīmju līguma</w:t>
      </w:r>
      <w:r>
        <w:rPr>
          <w:spacing w:val="-3"/>
          <w:sz w:val="24"/>
        </w:rPr>
        <w:t xml:space="preserve"> </w:t>
      </w:r>
      <w:r>
        <w:rPr>
          <w:sz w:val="24"/>
        </w:rPr>
        <w:t>Noteikumi;</w:t>
      </w:r>
    </w:p>
    <w:p w:rsidR="00082A8D" w:rsidRDefault="00542665">
      <w:pPr>
        <w:pStyle w:val="Sarakstarindkopa"/>
        <w:numPr>
          <w:ilvl w:val="3"/>
          <w:numId w:val="2"/>
        </w:numPr>
        <w:tabs>
          <w:tab w:val="left" w:pos="1536"/>
          <w:tab w:val="left" w:pos="1537"/>
        </w:tabs>
        <w:spacing w:line="235" w:lineRule="auto"/>
        <w:ind w:right="156" w:hanging="360"/>
        <w:jc w:val="left"/>
        <w:rPr>
          <w:sz w:val="24"/>
        </w:rPr>
      </w:pPr>
      <w:r>
        <w:rPr>
          <w:sz w:val="24"/>
        </w:rPr>
        <w:t>Singapūras</w:t>
      </w:r>
      <w:r>
        <w:rPr>
          <w:spacing w:val="-6"/>
          <w:sz w:val="24"/>
        </w:rPr>
        <w:t xml:space="preserve"> </w:t>
      </w:r>
      <w:r>
        <w:rPr>
          <w:sz w:val="24"/>
        </w:rPr>
        <w:t>līgums</w:t>
      </w:r>
      <w:r>
        <w:rPr>
          <w:spacing w:val="-6"/>
          <w:sz w:val="24"/>
        </w:rPr>
        <w:t xml:space="preserve"> </w:t>
      </w:r>
      <w:r>
        <w:rPr>
          <w:sz w:val="24"/>
        </w:rPr>
        <w:t>par</w:t>
      </w:r>
      <w:r>
        <w:rPr>
          <w:spacing w:val="-12"/>
          <w:sz w:val="24"/>
        </w:rPr>
        <w:t xml:space="preserve"> </w:t>
      </w:r>
      <w:r>
        <w:rPr>
          <w:sz w:val="24"/>
        </w:rPr>
        <w:t>preču</w:t>
      </w:r>
      <w:r>
        <w:rPr>
          <w:spacing w:val="-7"/>
          <w:sz w:val="24"/>
        </w:rPr>
        <w:t xml:space="preserve"> </w:t>
      </w:r>
      <w:r>
        <w:rPr>
          <w:sz w:val="24"/>
        </w:rPr>
        <w:t>zīmēm</w:t>
      </w:r>
      <w:r>
        <w:rPr>
          <w:spacing w:val="-6"/>
          <w:sz w:val="24"/>
        </w:rPr>
        <w:t xml:space="preserve"> </w:t>
      </w:r>
      <w:r>
        <w:rPr>
          <w:sz w:val="24"/>
        </w:rPr>
        <w:t>(</w:t>
      </w:r>
      <w:proofErr w:type="spellStart"/>
      <w:r>
        <w:rPr>
          <w:sz w:val="24"/>
        </w:rPr>
        <w:t>Singapore</w:t>
      </w:r>
      <w:proofErr w:type="spellEnd"/>
      <w:r>
        <w:rPr>
          <w:spacing w:val="-9"/>
          <w:sz w:val="24"/>
        </w:rPr>
        <w:t xml:space="preserve"> </w:t>
      </w:r>
      <w:proofErr w:type="spellStart"/>
      <w:r>
        <w:rPr>
          <w:sz w:val="24"/>
        </w:rPr>
        <w:t>Treaty</w:t>
      </w:r>
      <w:proofErr w:type="spellEnd"/>
      <w:r>
        <w:rPr>
          <w:spacing w:val="-28"/>
          <w:sz w:val="24"/>
        </w:rPr>
        <w:t xml:space="preserve"> </w:t>
      </w:r>
      <w:proofErr w:type="spellStart"/>
      <w:r>
        <w:rPr>
          <w:sz w:val="24"/>
        </w:rPr>
        <w:t>on</w:t>
      </w:r>
      <w:proofErr w:type="spellEnd"/>
      <w:r>
        <w:rPr>
          <w:spacing w:val="-9"/>
          <w:sz w:val="24"/>
        </w:rPr>
        <w:t xml:space="preserve"> </w:t>
      </w:r>
      <w:proofErr w:type="spellStart"/>
      <w:r>
        <w:rPr>
          <w:sz w:val="24"/>
        </w:rPr>
        <w:t>the</w:t>
      </w:r>
      <w:proofErr w:type="spellEnd"/>
      <w:r>
        <w:rPr>
          <w:spacing w:val="-3"/>
          <w:sz w:val="24"/>
        </w:rPr>
        <w:t xml:space="preserve"> </w:t>
      </w:r>
      <w:r>
        <w:rPr>
          <w:sz w:val="24"/>
        </w:rPr>
        <w:t>Law</w:t>
      </w:r>
      <w:r>
        <w:rPr>
          <w:spacing w:val="-12"/>
          <w:sz w:val="24"/>
        </w:rPr>
        <w:t xml:space="preserve"> </w:t>
      </w:r>
      <w:proofErr w:type="spellStart"/>
      <w:r>
        <w:rPr>
          <w:sz w:val="24"/>
        </w:rPr>
        <w:t>of</w:t>
      </w:r>
      <w:proofErr w:type="spellEnd"/>
      <w:r>
        <w:rPr>
          <w:spacing w:val="-8"/>
          <w:sz w:val="24"/>
        </w:rPr>
        <w:t xml:space="preserve"> </w:t>
      </w:r>
      <w:proofErr w:type="spellStart"/>
      <w:r>
        <w:rPr>
          <w:sz w:val="24"/>
        </w:rPr>
        <w:t>Trademarks</w:t>
      </w:r>
      <w:proofErr w:type="spellEnd"/>
      <w:r>
        <w:rPr>
          <w:sz w:val="24"/>
        </w:rPr>
        <w:t>, turpmāk – Singapūras līgums), arī Singapūras līguma</w:t>
      </w:r>
      <w:r>
        <w:rPr>
          <w:spacing w:val="-18"/>
          <w:sz w:val="24"/>
        </w:rPr>
        <w:t xml:space="preserve"> </w:t>
      </w:r>
      <w:r>
        <w:rPr>
          <w:sz w:val="24"/>
        </w:rPr>
        <w:t>Reglaments;</w:t>
      </w:r>
    </w:p>
    <w:p w:rsidR="00082A8D" w:rsidRDefault="00542665">
      <w:pPr>
        <w:pStyle w:val="Sarakstarindkopa"/>
        <w:numPr>
          <w:ilvl w:val="3"/>
          <w:numId w:val="2"/>
        </w:numPr>
        <w:tabs>
          <w:tab w:val="left" w:pos="1537"/>
        </w:tabs>
        <w:ind w:right="156" w:hanging="360"/>
        <w:rPr>
          <w:sz w:val="24"/>
        </w:rPr>
      </w:pPr>
      <w:r>
        <w:rPr>
          <w:sz w:val="24"/>
        </w:rPr>
        <w:t>Madrides nolīgums par zīmju starptautisko reģistrāciju (turpmāk – Madrides nolīgums) un Madrides nolīguma par zīmju starptautisko reģistrāciju protokols (turpmāk – Madrides protokols), arī Madrides nolīguma par zīmju starptautisko reģistrāciju un Madrides protokola kopīgais reglaments;</w:t>
      </w:r>
    </w:p>
    <w:p w:rsidR="00082A8D" w:rsidRDefault="00542665">
      <w:pPr>
        <w:pStyle w:val="Sarakstarindkopa"/>
        <w:numPr>
          <w:ilvl w:val="3"/>
          <w:numId w:val="2"/>
        </w:numPr>
        <w:tabs>
          <w:tab w:val="left" w:pos="1537"/>
        </w:tabs>
        <w:spacing w:before="1" w:line="242" w:lineRule="auto"/>
        <w:ind w:right="147" w:hanging="360"/>
        <w:rPr>
          <w:sz w:val="24"/>
        </w:rPr>
      </w:pPr>
      <w:r>
        <w:rPr>
          <w:sz w:val="24"/>
        </w:rPr>
        <w:t xml:space="preserve">Nicas Nolīgums par preču un pakalpojumu starptautisko </w:t>
      </w:r>
      <w:proofErr w:type="spellStart"/>
      <w:r>
        <w:rPr>
          <w:sz w:val="24"/>
        </w:rPr>
        <w:t>klasifikācijupreču</w:t>
      </w:r>
      <w:proofErr w:type="spellEnd"/>
      <w:r>
        <w:rPr>
          <w:sz w:val="24"/>
        </w:rPr>
        <w:t xml:space="preserve"> zīmju reģistrācijas vajadzībām (turpmāk – Nicas</w:t>
      </w:r>
      <w:r>
        <w:rPr>
          <w:spacing w:val="-4"/>
          <w:sz w:val="24"/>
        </w:rPr>
        <w:t xml:space="preserve"> </w:t>
      </w:r>
      <w:r>
        <w:rPr>
          <w:sz w:val="24"/>
        </w:rPr>
        <w:t>nolīgums);</w:t>
      </w:r>
    </w:p>
    <w:p w:rsidR="00082A8D" w:rsidRDefault="00542665">
      <w:pPr>
        <w:pStyle w:val="Sarakstarindkopa"/>
        <w:numPr>
          <w:ilvl w:val="3"/>
          <w:numId w:val="2"/>
        </w:numPr>
        <w:tabs>
          <w:tab w:val="left" w:pos="1537"/>
        </w:tabs>
        <w:ind w:right="144" w:hanging="360"/>
        <w:rPr>
          <w:sz w:val="24"/>
        </w:rPr>
      </w:pPr>
      <w:r>
        <w:rPr>
          <w:sz w:val="24"/>
        </w:rPr>
        <w:t>Hāgas vienošanās par dizainparaugu starptautisko reģistrāciju 1999. gada 2. jūlija Ženēvas akts (turpmāk – Hāgas vienošanās Ženēvas akts); arī Hāgas vienošanās 1999. gada akta un 1960. gada akta kopīgais</w:t>
      </w:r>
      <w:r>
        <w:rPr>
          <w:spacing w:val="-3"/>
          <w:sz w:val="24"/>
        </w:rPr>
        <w:t xml:space="preserve"> </w:t>
      </w:r>
      <w:r>
        <w:rPr>
          <w:sz w:val="24"/>
        </w:rPr>
        <w:t>reglaments;</w:t>
      </w:r>
    </w:p>
    <w:p w:rsidR="00082A8D" w:rsidRDefault="00542665">
      <w:pPr>
        <w:pStyle w:val="Sarakstarindkopa"/>
        <w:numPr>
          <w:ilvl w:val="3"/>
          <w:numId w:val="2"/>
        </w:numPr>
        <w:tabs>
          <w:tab w:val="left" w:pos="1537"/>
        </w:tabs>
        <w:ind w:right="158" w:hanging="360"/>
        <w:rPr>
          <w:sz w:val="24"/>
        </w:rPr>
      </w:pPr>
      <w:r>
        <w:rPr>
          <w:sz w:val="24"/>
        </w:rPr>
        <w:t>Lokarno nolīgums par dizainparaugu starptautiskās klasifikācijas izveidošanu (turpmāk – Lokarno</w:t>
      </w:r>
      <w:r>
        <w:rPr>
          <w:spacing w:val="2"/>
          <w:sz w:val="24"/>
        </w:rPr>
        <w:t xml:space="preserve"> </w:t>
      </w:r>
      <w:r>
        <w:rPr>
          <w:sz w:val="24"/>
        </w:rPr>
        <w:t>nolīgums);</w:t>
      </w:r>
    </w:p>
    <w:p w:rsidR="00082A8D" w:rsidRDefault="00542665">
      <w:pPr>
        <w:pStyle w:val="Sarakstarindkopa"/>
        <w:numPr>
          <w:ilvl w:val="3"/>
          <w:numId w:val="2"/>
        </w:numPr>
        <w:tabs>
          <w:tab w:val="left" w:pos="1537"/>
        </w:tabs>
        <w:ind w:right="151" w:hanging="360"/>
        <w:rPr>
          <w:sz w:val="24"/>
        </w:rPr>
      </w:pPr>
      <w:r>
        <w:rPr>
          <w:sz w:val="24"/>
        </w:rPr>
        <w:t>Līgums</w:t>
      </w:r>
      <w:r>
        <w:rPr>
          <w:spacing w:val="-11"/>
          <w:sz w:val="24"/>
        </w:rPr>
        <w:t xml:space="preserve"> </w:t>
      </w:r>
      <w:r>
        <w:rPr>
          <w:sz w:val="24"/>
        </w:rPr>
        <w:t>par</w:t>
      </w:r>
      <w:r>
        <w:rPr>
          <w:spacing w:val="-13"/>
          <w:sz w:val="24"/>
        </w:rPr>
        <w:t xml:space="preserve"> </w:t>
      </w:r>
      <w:r>
        <w:rPr>
          <w:sz w:val="24"/>
        </w:rPr>
        <w:t>intelektuālā</w:t>
      </w:r>
      <w:r>
        <w:rPr>
          <w:spacing w:val="-8"/>
          <w:sz w:val="24"/>
        </w:rPr>
        <w:t xml:space="preserve"> </w:t>
      </w:r>
      <w:r>
        <w:rPr>
          <w:sz w:val="24"/>
        </w:rPr>
        <w:t>īpašuma</w:t>
      </w:r>
      <w:r>
        <w:rPr>
          <w:spacing w:val="-15"/>
          <w:sz w:val="24"/>
        </w:rPr>
        <w:t xml:space="preserve"> </w:t>
      </w:r>
      <w:r>
        <w:rPr>
          <w:sz w:val="24"/>
        </w:rPr>
        <w:t>tiesību</w:t>
      </w:r>
      <w:r>
        <w:rPr>
          <w:spacing w:val="-9"/>
          <w:sz w:val="24"/>
        </w:rPr>
        <w:t xml:space="preserve"> </w:t>
      </w:r>
      <w:r>
        <w:rPr>
          <w:sz w:val="24"/>
        </w:rPr>
        <w:t>aspektiem</w:t>
      </w:r>
      <w:r>
        <w:rPr>
          <w:spacing w:val="-2"/>
          <w:sz w:val="24"/>
        </w:rPr>
        <w:t xml:space="preserve"> </w:t>
      </w:r>
      <w:r>
        <w:rPr>
          <w:sz w:val="24"/>
        </w:rPr>
        <w:t>saistībā</w:t>
      </w:r>
      <w:r>
        <w:rPr>
          <w:spacing w:val="-14"/>
          <w:sz w:val="24"/>
        </w:rPr>
        <w:t xml:space="preserve"> </w:t>
      </w:r>
      <w:r>
        <w:rPr>
          <w:sz w:val="24"/>
        </w:rPr>
        <w:t>ar</w:t>
      </w:r>
      <w:r>
        <w:rPr>
          <w:spacing w:val="-11"/>
          <w:sz w:val="24"/>
        </w:rPr>
        <w:t xml:space="preserve"> </w:t>
      </w:r>
      <w:r>
        <w:rPr>
          <w:sz w:val="24"/>
        </w:rPr>
        <w:t>tirdzniecību</w:t>
      </w:r>
      <w:r>
        <w:rPr>
          <w:spacing w:val="-6"/>
          <w:sz w:val="24"/>
        </w:rPr>
        <w:t xml:space="preserve"> </w:t>
      </w:r>
      <w:r>
        <w:rPr>
          <w:sz w:val="24"/>
        </w:rPr>
        <w:t>(TRIPS līgums)</w:t>
      </w:r>
      <w:r>
        <w:rPr>
          <w:spacing w:val="-9"/>
          <w:sz w:val="24"/>
        </w:rPr>
        <w:t xml:space="preserve"> </w:t>
      </w:r>
      <w:r>
        <w:rPr>
          <w:sz w:val="24"/>
        </w:rPr>
        <w:t>–</w:t>
      </w:r>
      <w:r>
        <w:rPr>
          <w:spacing w:val="-7"/>
          <w:sz w:val="24"/>
        </w:rPr>
        <w:t xml:space="preserve"> </w:t>
      </w:r>
      <w:r>
        <w:rPr>
          <w:sz w:val="24"/>
        </w:rPr>
        <w:t>Marakešas</w:t>
      </w:r>
      <w:r>
        <w:rPr>
          <w:spacing w:val="-7"/>
          <w:sz w:val="24"/>
        </w:rPr>
        <w:t xml:space="preserve"> </w:t>
      </w:r>
      <w:r>
        <w:rPr>
          <w:sz w:val="24"/>
        </w:rPr>
        <w:t>līguma</w:t>
      </w:r>
      <w:r>
        <w:rPr>
          <w:spacing w:val="-9"/>
          <w:sz w:val="24"/>
        </w:rPr>
        <w:t xml:space="preserve"> </w:t>
      </w:r>
      <w:r>
        <w:rPr>
          <w:sz w:val="24"/>
        </w:rPr>
        <w:t>par</w:t>
      </w:r>
      <w:r>
        <w:rPr>
          <w:spacing w:val="-10"/>
          <w:sz w:val="24"/>
        </w:rPr>
        <w:t xml:space="preserve"> </w:t>
      </w:r>
      <w:r>
        <w:rPr>
          <w:sz w:val="24"/>
        </w:rPr>
        <w:t>Pasaules</w:t>
      </w:r>
      <w:r>
        <w:rPr>
          <w:spacing w:val="-10"/>
          <w:sz w:val="24"/>
        </w:rPr>
        <w:t xml:space="preserve"> </w:t>
      </w:r>
      <w:r>
        <w:rPr>
          <w:sz w:val="24"/>
        </w:rPr>
        <w:t>Tirdzniecības</w:t>
      </w:r>
      <w:r>
        <w:rPr>
          <w:spacing w:val="-6"/>
          <w:sz w:val="24"/>
        </w:rPr>
        <w:t xml:space="preserve"> </w:t>
      </w:r>
      <w:r>
        <w:rPr>
          <w:sz w:val="24"/>
        </w:rPr>
        <w:t>organizācijas</w:t>
      </w:r>
      <w:r>
        <w:rPr>
          <w:spacing w:val="-6"/>
          <w:sz w:val="24"/>
        </w:rPr>
        <w:t xml:space="preserve"> </w:t>
      </w:r>
      <w:r>
        <w:rPr>
          <w:sz w:val="24"/>
        </w:rPr>
        <w:t>izveidošanu Pielikums 1C;</w:t>
      </w:r>
    </w:p>
    <w:p w:rsidR="00082A8D" w:rsidRDefault="00082A8D">
      <w:pPr>
        <w:pStyle w:val="Pamatteksts"/>
        <w:ind w:left="0" w:firstLine="0"/>
        <w:jc w:val="left"/>
      </w:pPr>
    </w:p>
    <w:p w:rsidR="00082A8D" w:rsidRPr="00C9425D" w:rsidRDefault="00542665" w:rsidP="00C9425D">
      <w:pPr>
        <w:pStyle w:val="Sarakstarindkopa"/>
        <w:numPr>
          <w:ilvl w:val="2"/>
          <w:numId w:val="2"/>
        </w:numPr>
        <w:ind w:left="851" w:right="154"/>
        <w:jc w:val="both"/>
        <w:rPr>
          <w:sz w:val="24"/>
        </w:rPr>
      </w:pPr>
      <w:r w:rsidRPr="00C9425D">
        <w:rPr>
          <w:sz w:val="24"/>
        </w:rPr>
        <w:t>Eiropas Savienības tiesību akti, kas attiecas uz rūpnieciskā īpašuma tiesisko aizsardzību, it</w:t>
      </w:r>
      <w:r w:rsidRPr="00C9425D">
        <w:rPr>
          <w:spacing w:val="-2"/>
          <w:sz w:val="24"/>
        </w:rPr>
        <w:t xml:space="preserve"> </w:t>
      </w:r>
      <w:r w:rsidRPr="00C9425D">
        <w:rPr>
          <w:sz w:val="24"/>
        </w:rPr>
        <w:t>īpaši:</w:t>
      </w:r>
    </w:p>
    <w:p w:rsidR="00082A8D" w:rsidRPr="00C9425D" w:rsidRDefault="00542665" w:rsidP="00C9425D">
      <w:pPr>
        <w:pStyle w:val="Sarakstarindkopa"/>
        <w:numPr>
          <w:ilvl w:val="3"/>
          <w:numId w:val="2"/>
        </w:numPr>
        <w:tabs>
          <w:tab w:val="left" w:pos="1537"/>
        </w:tabs>
        <w:ind w:right="169"/>
        <w:rPr>
          <w:sz w:val="24"/>
        </w:rPr>
      </w:pPr>
      <w:r>
        <w:rPr>
          <w:sz w:val="24"/>
        </w:rPr>
        <w:t xml:space="preserve">Eiropas Parlamenta un Padomes Direktīva (ES) 2015/2436 (2015. gada 16. decembris), ar ko tuvina dalībvalstu tiesību aktus attiecībā uz preču zīmēm (pārstrādāta </w:t>
      </w:r>
      <w:r w:rsidRPr="00C9425D">
        <w:rPr>
          <w:sz w:val="24"/>
        </w:rPr>
        <w:t>redakcija) (turpmāk – Direktīva Nr. 2015/2436);</w:t>
      </w:r>
    </w:p>
    <w:p w:rsidR="00C9425D" w:rsidRPr="00C9425D" w:rsidRDefault="00542665" w:rsidP="00C9425D">
      <w:pPr>
        <w:pStyle w:val="Sarakstarindkopa"/>
        <w:numPr>
          <w:ilvl w:val="3"/>
          <w:numId w:val="2"/>
        </w:numPr>
        <w:tabs>
          <w:tab w:val="left" w:pos="1537"/>
        </w:tabs>
        <w:ind w:right="149"/>
        <w:rPr>
          <w:sz w:val="24"/>
        </w:rPr>
      </w:pPr>
      <w:r w:rsidRPr="00C9425D">
        <w:rPr>
          <w:sz w:val="24"/>
        </w:rPr>
        <w:t>Eiropas Parlamenta un Padomes Regula (ES) 2017/1001 (2017. gada 14. jūnijs) par Eiropas Savienības preču zīmi (kodificēta redakcija) (turpmāk – Regula Nr. 2017/1001);</w:t>
      </w:r>
    </w:p>
    <w:p w:rsidR="00C9425D" w:rsidRPr="00C9425D" w:rsidRDefault="00C9425D" w:rsidP="00C9425D">
      <w:pPr>
        <w:pStyle w:val="Sarakstarindkopa"/>
        <w:numPr>
          <w:ilvl w:val="3"/>
          <w:numId w:val="2"/>
        </w:numPr>
        <w:tabs>
          <w:tab w:val="left" w:pos="1537"/>
        </w:tabs>
        <w:ind w:right="149"/>
        <w:rPr>
          <w:sz w:val="24"/>
        </w:rPr>
      </w:pPr>
      <w:r w:rsidRPr="00C9425D">
        <w:rPr>
          <w:sz w:val="24"/>
        </w:rPr>
        <w:t>Komisijas Deleģētā regula (ES)2018/625 (</w:t>
      </w:r>
      <w:proofErr w:type="gramStart"/>
      <w:r w:rsidRPr="00C9425D">
        <w:rPr>
          <w:sz w:val="24"/>
        </w:rPr>
        <w:t>2018.gada</w:t>
      </w:r>
      <w:proofErr w:type="gramEnd"/>
      <w:r w:rsidRPr="00C9425D">
        <w:rPr>
          <w:sz w:val="24"/>
        </w:rPr>
        <w:t xml:space="preserve"> 5. marts), ar ko papildina Eiropas Parlamenta un Padomes Regulu (ES) 2017/1001 par Eiropas Savienības preču zīmi un atceļ Deleģēto Regulu (ES) 2017/1430.</w:t>
      </w:r>
    </w:p>
    <w:p w:rsidR="00C9425D" w:rsidRPr="00C9425D" w:rsidRDefault="00C9425D" w:rsidP="00C9425D">
      <w:pPr>
        <w:pStyle w:val="Sarakstarindkopa"/>
        <w:numPr>
          <w:ilvl w:val="3"/>
          <w:numId w:val="2"/>
        </w:numPr>
        <w:tabs>
          <w:tab w:val="left" w:pos="1537"/>
        </w:tabs>
        <w:ind w:right="149"/>
        <w:rPr>
          <w:sz w:val="24"/>
        </w:rPr>
      </w:pPr>
      <w:r w:rsidRPr="00C9425D">
        <w:rPr>
          <w:sz w:val="24"/>
        </w:rPr>
        <w:t>Komisijas Īstenošanas regula (ES) 2018/626 (</w:t>
      </w:r>
      <w:proofErr w:type="gramStart"/>
      <w:r w:rsidRPr="00C9425D">
        <w:rPr>
          <w:sz w:val="24"/>
        </w:rPr>
        <w:t>2018.gada</w:t>
      </w:r>
      <w:proofErr w:type="gramEnd"/>
      <w:r w:rsidRPr="00C9425D">
        <w:rPr>
          <w:sz w:val="24"/>
        </w:rPr>
        <w:t xml:space="preserve"> 5. marts), ar ko paredz sīki izstrādātus noteikumus Eiropas Parlamenta un Padomes Regulā (ES) 2017/1001 par Eiropas Savienības preču zīmi, un atceļ Īstenošanas regulu (ES) 2017/1431.</w:t>
      </w:r>
    </w:p>
    <w:p w:rsidR="00082A8D" w:rsidRPr="00C9425D" w:rsidRDefault="00542665" w:rsidP="00C9425D">
      <w:pPr>
        <w:pStyle w:val="Sarakstarindkopa"/>
        <w:numPr>
          <w:ilvl w:val="3"/>
          <w:numId w:val="2"/>
        </w:numPr>
        <w:tabs>
          <w:tab w:val="left" w:pos="1537"/>
        </w:tabs>
        <w:ind w:right="154"/>
        <w:rPr>
          <w:sz w:val="24"/>
        </w:rPr>
      </w:pPr>
      <w:r w:rsidRPr="00C9425D">
        <w:rPr>
          <w:sz w:val="24"/>
        </w:rPr>
        <w:t>Eiropas Parlamenta un Padomes Direktīva 98/71/EK (1998. gada 13. oktobris) par dizainparaugu tiesisko aizsardzību (turpmāk – Direktīva 98/71/EK);</w:t>
      </w:r>
    </w:p>
    <w:p w:rsidR="00082A8D" w:rsidRPr="00C9425D" w:rsidRDefault="00542665" w:rsidP="00C9425D">
      <w:pPr>
        <w:pStyle w:val="Sarakstarindkopa"/>
        <w:numPr>
          <w:ilvl w:val="3"/>
          <w:numId w:val="2"/>
        </w:numPr>
        <w:tabs>
          <w:tab w:val="left" w:pos="1537"/>
        </w:tabs>
        <w:ind w:right="163"/>
        <w:rPr>
          <w:sz w:val="24"/>
        </w:rPr>
      </w:pPr>
      <w:r w:rsidRPr="00C9425D">
        <w:rPr>
          <w:sz w:val="24"/>
        </w:rPr>
        <w:t>Padomes Regula (EK) Nr. 6/2002 (2001. gada 12. decembris) par Kopienas dizainparaugiem (turpmāk – Regula Nr. 6/2002);</w:t>
      </w:r>
    </w:p>
    <w:p w:rsidR="00082A8D" w:rsidRPr="00C9425D" w:rsidRDefault="00542665" w:rsidP="00C9425D">
      <w:pPr>
        <w:pStyle w:val="Sarakstarindkopa"/>
        <w:numPr>
          <w:ilvl w:val="3"/>
          <w:numId w:val="2"/>
        </w:numPr>
        <w:tabs>
          <w:tab w:val="left" w:pos="1537"/>
        </w:tabs>
        <w:ind w:right="152"/>
        <w:rPr>
          <w:sz w:val="24"/>
        </w:rPr>
      </w:pPr>
      <w:r w:rsidRPr="00C9425D">
        <w:rPr>
          <w:sz w:val="24"/>
        </w:rPr>
        <w:t>Komisijas Regula (EK) Nr. 2245/2002 (2002. gada 21. oktobris), ar ko īsteno Padomes Regulu (EK) Nr. 6/2002 par Kopienas dizainparaugiem, ar grozījumiem (turpmāk – Regula Nr. 2245/2002);</w:t>
      </w:r>
    </w:p>
    <w:p w:rsidR="00082A8D" w:rsidRDefault="00542665" w:rsidP="00C9425D">
      <w:pPr>
        <w:pStyle w:val="Sarakstarindkopa"/>
        <w:numPr>
          <w:ilvl w:val="3"/>
          <w:numId w:val="2"/>
        </w:numPr>
        <w:tabs>
          <w:tab w:val="left" w:pos="1537"/>
        </w:tabs>
        <w:ind w:right="228"/>
        <w:rPr>
          <w:sz w:val="24"/>
        </w:rPr>
      </w:pPr>
      <w:r w:rsidRPr="00C9425D">
        <w:rPr>
          <w:sz w:val="24"/>
        </w:rPr>
        <w:lastRenderedPageBreak/>
        <w:t>Eiropas Parlamenta un Padomes</w:t>
      </w:r>
      <w:r>
        <w:rPr>
          <w:sz w:val="24"/>
        </w:rPr>
        <w:t xml:space="preserve"> Direktīva 98/44/EK (1998. gada 6. jūlijs) par izgudrojumu tiesisko aizsardzību</w:t>
      </w:r>
      <w:r w:rsidRPr="00C9425D">
        <w:rPr>
          <w:sz w:val="24"/>
        </w:rPr>
        <w:t xml:space="preserve"> </w:t>
      </w:r>
      <w:r>
        <w:rPr>
          <w:sz w:val="24"/>
        </w:rPr>
        <w:t>biotehnoloģijā;</w:t>
      </w:r>
    </w:p>
    <w:p w:rsidR="00082A8D" w:rsidRDefault="00542665" w:rsidP="00C9425D">
      <w:pPr>
        <w:pStyle w:val="Sarakstarindkopa"/>
        <w:numPr>
          <w:ilvl w:val="3"/>
          <w:numId w:val="2"/>
        </w:numPr>
        <w:tabs>
          <w:tab w:val="left" w:pos="1537"/>
        </w:tabs>
        <w:spacing w:before="1" w:line="242" w:lineRule="auto"/>
        <w:ind w:right="203"/>
        <w:rPr>
          <w:sz w:val="24"/>
        </w:rPr>
      </w:pPr>
      <w:r>
        <w:rPr>
          <w:sz w:val="24"/>
        </w:rPr>
        <w:t>Eiropas Parlamenta un Padomes Regula (EK) Nr. 469/2009 (2009. gada</w:t>
      </w:r>
      <w:r w:rsidRPr="00C9425D">
        <w:rPr>
          <w:sz w:val="24"/>
        </w:rPr>
        <w:t xml:space="preserve"> </w:t>
      </w:r>
      <w:r>
        <w:rPr>
          <w:sz w:val="24"/>
        </w:rPr>
        <w:t xml:space="preserve">6. maijs) par papildu aizsardzības sertifikātu zālēm (kodificēta versija) </w:t>
      </w:r>
      <w:proofErr w:type="gramStart"/>
      <w:r>
        <w:rPr>
          <w:sz w:val="24"/>
        </w:rPr>
        <w:t>(</w:t>
      </w:r>
      <w:proofErr w:type="gramEnd"/>
      <w:r>
        <w:rPr>
          <w:sz w:val="24"/>
        </w:rPr>
        <w:t>turpmāk –</w:t>
      </w:r>
      <w:r w:rsidRPr="00C9425D">
        <w:rPr>
          <w:sz w:val="24"/>
        </w:rPr>
        <w:t xml:space="preserve"> </w:t>
      </w:r>
      <w:r>
        <w:rPr>
          <w:sz w:val="24"/>
        </w:rPr>
        <w:t>Regula</w:t>
      </w:r>
    </w:p>
    <w:p w:rsidR="00082A8D" w:rsidRDefault="00082A8D">
      <w:pPr>
        <w:spacing w:line="242" w:lineRule="auto"/>
        <w:jc w:val="both"/>
        <w:rPr>
          <w:sz w:val="24"/>
        </w:rPr>
        <w:sectPr w:rsidR="00082A8D">
          <w:pgSz w:w="11940" w:h="16860"/>
          <w:pgMar w:top="1200" w:right="860" w:bottom="800" w:left="1560" w:header="0" w:footer="604" w:gutter="0"/>
          <w:cols w:space="720"/>
        </w:sectPr>
      </w:pPr>
    </w:p>
    <w:p w:rsidR="00082A8D" w:rsidRPr="00C9425D" w:rsidRDefault="00542665">
      <w:pPr>
        <w:pStyle w:val="Pamatteksts"/>
        <w:spacing w:before="66"/>
        <w:ind w:left="1536" w:right="655" w:firstLine="0"/>
        <w:rPr>
          <w:szCs w:val="22"/>
        </w:rPr>
      </w:pPr>
      <w:r w:rsidRPr="00C9425D">
        <w:rPr>
          <w:szCs w:val="22"/>
        </w:rPr>
        <w:lastRenderedPageBreak/>
        <w:t>Nr. 469/2009); agrāk – Padomes Regula (EEK) Nr. 1768/92 (1992. gada 18. jūnijs) par papildu aizsardzības sertifikāta izstrādi zālēm;</w:t>
      </w:r>
    </w:p>
    <w:p w:rsidR="00082A8D" w:rsidRPr="00753DB0" w:rsidRDefault="00542665" w:rsidP="00C9425D">
      <w:pPr>
        <w:pStyle w:val="Sarakstarindkopa"/>
        <w:numPr>
          <w:ilvl w:val="3"/>
          <w:numId w:val="2"/>
        </w:numPr>
        <w:tabs>
          <w:tab w:val="left" w:pos="1537"/>
        </w:tabs>
        <w:ind w:right="202"/>
        <w:rPr>
          <w:sz w:val="24"/>
          <w:szCs w:val="24"/>
        </w:rPr>
      </w:pPr>
      <w:r>
        <w:rPr>
          <w:sz w:val="24"/>
        </w:rPr>
        <w:t xml:space="preserve">Eiropas Parlamenta un Padomes Regula (EK) Nr. 1610/96 (1996. gada 23. jūlijs) par papildu aizsardzības sertifikāta ieviešanu attiecībā uz augu aizsardzības līdzekļiem (turpmāk – </w:t>
      </w:r>
      <w:r w:rsidRPr="00753DB0">
        <w:rPr>
          <w:sz w:val="24"/>
          <w:szCs w:val="24"/>
        </w:rPr>
        <w:t>Regula Nr. 1610/96);</w:t>
      </w:r>
    </w:p>
    <w:p w:rsidR="00753DB0" w:rsidRPr="00753DB0" w:rsidRDefault="00542665" w:rsidP="00C9425D">
      <w:pPr>
        <w:pStyle w:val="Sarakstarindkopa"/>
        <w:numPr>
          <w:ilvl w:val="3"/>
          <w:numId w:val="2"/>
        </w:numPr>
        <w:tabs>
          <w:tab w:val="left" w:pos="1537"/>
        </w:tabs>
        <w:spacing w:before="1"/>
        <w:ind w:right="212"/>
        <w:rPr>
          <w:sz w:val="24"/>
          <w:szCs w:val="24"/>
        </w:rPr>
      </w:pPr>
      <w:r w:rsidRPr="00753DB0">
        <w:rPr>
          <w:sz w:val="24"/>
          <w:szCs w:val="24"/>
        </w:rPr>
        <w:t>Eiropas Parlamenta un Padomes Direktīva 2004/48/EK (2004. gada 29. aprīlis) par intelektuālā īpašuma tiesību piemērošanu (turpmāk – Direktīva 2004/48/EK)</w:t>
      </w:r>
      <w:r w:rsidR="00753DB0" w:rsidRPr="00753DB0">
        <w:rPr>
          <w:sz w:val="24"/>
          <w:szCs w:val="24"/>
        </w:rPr>
        <w:t>;</w:t>
      </w:r>
    </w:p>
    <w:p w:rsidR="00082A8D" w:rsidRPr="00753DB0" w:rsidRDefault="00753DB0" w:rsidP="00C9425D">
      <w:pPr>
        <w:pStyle w:val="Sarakstarindkopa"/>
        <w:numPr>
          <w:ilvl w:val="3"/>
          <w:numId w:val="2"/>
        </w:numPr>
        <w:tabs>
          <w:tab w:val="left" w:pos="1537"/>
        </w:tabs>
        <w:spacing w:before="1"/>
        <w:ind w:right="212"/>
        <w:rPr>
          <w:sz w:val="24"/>
          <w:szCs w:val="24"/>
        </w:rPr>
      </w:pPr>
      <w:r w:rsidRPr="00753DB0">
        <w:rPr>
          <w:sz w:val="24"/>
          <w:szCs w:val="24"/>
        </w:rPr>
        <w:t>Eiropas Parlamenta un Padomes Regula (ES) Nr. 608/2013 (2013. gada 12. jūnijs) par muitas darbu intelektuālā īpašuma tiesību īstenošanā un ar ko atceļ Padomes Regulu (EK) Nr. 1383/2003</w:t>
      </w:r>
      <w:r w:rsidR="00542665" w:rsidRPr="00753DB0">
        <w:rPr>
          <w:sz w:val="24"/>
          <w:szCs w:val="24"/>
        </w:rPr>
        <w:t>.</w:t>
      </w:r>
    </w:p>
    <w:p w:rsidR="00082A8D" w:rsidRDefault="00082A8D">
      <w:pPr>
        <w:pStyle w:val="Pamatteksts"/>
        <w:spacing w:before="9"/>
        <w:ind w:left="0" w:firstLine="0"/>
        <w:jc w:val="left"/>
        <w:rPr>
          <w:sz w:val="23"/>
        </w:rPr>
      </w:pPr>
    </w:p>
    <w:p w:rsidR="00082A8D" w:rsidRDefault="00542665">
      <w:pPr>
        <w:pStyle w:val="Sarakstarindkopa"/>
        <w:numPr>
          <w:ilvl w:val="1"/>
          <w:numId w:val="2"/>
        </w:numPr>
        <w:tabs>
          <w:tab w:val="left" w:pos="687"/>
        </w:tabs>
        <w:ind w:right="208"/>
        <w:rPr>
          <w:sz w:val="24"/>
        </w:rPr>
      </w:pPr>
      <w:r>
        <w:rPr>
          <w:sz w:val="24"/>
        </w:rPr>
        <w:t xml:space="preserve">Profesionālo </w:t>
      </w:r>
      <w:proofErr w:type="spellStart"/>
      <w:r>
        <w:rPr>
          <w:sz w:val="24"/>
        </w:rPr>
        <w:t>patentpilnvarnieku</w:t>
      </w:r>
      <w:proofErr w:type="spellEnd"/>
      <w:r>
        <w:rPr>
          <w:sz w:val="24"/>
        </w:rPr>
        <w:t xml:space="preserve"> kvalifikācijas eksāmena (turpmāk – eksāmens) pirmajā daļā </w:t>
      </w:r>
      <w:proofErr w:type="spellStart"/>
      <w:r>
        <w:rPr>
          <w:sz w:val="24"/>
        </w:rPr>
        <w:t>patentpilnvarnieka</w:t>
      </w:r>
      <w:proofErr w:type="spellEnd"/>
      <w:r>
        <w:rPr>
          <w:sz w:val="24"/>
        </w:rPr>
        <w:t xml:space="preserve"> pretendents rakstiski izpilda praktisko uzdevumu katrā specializācijā, kuru tas norādījis savā iesniegumā eksāmena kārtošanai, atrisinot attiecīgu prakses jautājumu (kāzusu). Atbildei jāietver uzdevumā aprakstītās situācijas analīze un attiecīgi pretendenta ieteikumi rūpnieciskā īpašuma objekta pieteicējam (īpašniekam). Uzdevums specializācijā „patenti” var ietvert, piemēram, patenta pretenziju sastādīšanu atbilstoši aprakstītajiem</w:t>
      </w:r>
      <w:r>
        <w:rPr>
          <w:spacing w:val="2"/>
          <w:sz w:val="24"/>
        </w:rPr>
        <w:t xml:space="preserve"> </w:t>
      </w:r>
      <w:r>
        <w:rPr>
          <w:sz w:val="24"/>
        </w:rPr>
        <w:t>apstākļiem.</w:t>
      </w:r>
    </w:p>
    <w:p w:rsidR="00082A8D" w:rsidRDefault="00082A8D">
      <w:pPr>
        <w:pStyle w:val="Pamatteksts"/>
        <w:spacing w:before="3"/>
        <w:ind w:left="0" w:firstLine="0"/>
        <w:jc w:val="left"/>
      </w:pPr>
    </w:p>
    <w:p w:rsidR="00082A8D" w:rsidRDefault="00542665">
      <w:pPr>
        <w:pStyle w:val="Sarakstarindkopa"/>
        <w:numPr>
          <w:ilvl w:val="1"/>
          <w:numId w:val="2"/>
        </w:numPr>
        <w:tabs>
          <w:tab w:val="left" w:pos="687"/>
        </w:tabs>
        <w:ind w:right="158"/>
        <w:rPr>
          <w:sz w:val="24"/>
        </w:rPr>
      </w:pPr>
      <w:r>
        <w:rPr>
          <w:sz w:val="24"/>
        </w:rPr>
        <w:t>Eksāmena otrās daļas katra biļete ietver teorētisko zināšanu jautājumus, kas attiecas uz izgudrojumu, preču zīmju un dizainparaugu aizsardzības materiālajām un procesuālajām normām Latvijas Republikā, kā arī uz attiecīgajām starptautisko konvenciju, līgumu un Eiropas Savienības tiesību aktu pamatnormām. Pretendentam jāatbild vismaz uz diviem teorijas jautājumiem katrā specializācijā, kuru tas norādījis savā iesniegumā eksāmena kārtošanai.</w:t>
      </w:r>
    </w:p>
    <w:p w:rsidR="00082A8D" w:rsidRDefault="00082A8D">
      <w:pPr>
        <w:pStyle w:val="Pamatteksts"/>
        <w:spacing w:before="2"/>
        <w:ind w:left="0" w:firstLine="0"/>
        <w:jc w:val="left"/>
      </w:pPr>
    </w:p>
    <w:p w:rsidR="00082A8D" w:rsidRDefault="00542665">
      <w:pPr>
        <w:pStyle w:val="Sarakstarindkopa"/>
        <w:numPr>
          <w:ilvl w:val="1"/>
          <w:numId w:val="2"/>
        </w:numPr>
        <w:tabs>
          <w:tab w:val="left" w:pos="687"/>
        </w:tabs>
        <w:ind w:right="161"/>
        <w:rPr>
          <w:sz w:val="24"/>
        </w:rPr>
      </w:pPr>
      <w:r>
        <w:rPr>
          <w:sz w:val="24"/>
        </w:rPr>
        <w:t xml:space="preserve">Praktiskie uzdevumi un biļešu jautājumi attiecas uz tām Latvijas Republikas likumu, starptautisko līgumu un Eiropas Savienības tiesību aktu sadaļām, kuru zināšana nepieciešama </w:t>
      </w:r>
      <w:proofErr w:type="spellStart"/>
      <w:r>
        <w:rPr>
          <w:sz w:val="24"/>
        </w:rPr>
        <w:t>patentpilnvarnieka</w:t>
      </w:r>
      <w:proofErr w:type="spellEnd"/>
      <w:r>
        <w:rPr>
          <w:sz w:val="24"/>
        </w:rPr>
        <w:t xml:space="preserve"> profesionālās darbības veikšanai attiecīgajā specializācijā.</w:t>
      </w:r>
    </w:p>
    <w:p w:rsidR="00082A8D" w:rsidRDefault="00082A8D">
      <w:pPr>
        <w:pStyle w:val="Pamatteksts"/>
        <w:spacing w:before="9"/>
        <w:ind w:left="0" w:firstLine="0"/>
        <w:jc w:val="left"/>
        <w:rPr>
          <w:sz w:val="25"/>
        </w:rPr>
      </w:pPr>
    </w:p>
    <w:p w:rsidR="00082A8D" w:rsidRDefault="00542665">
      <w:pPr>
        <w:pStyle w:val="Virsraksts1"/>
        <w:numPr>
          <w:ilvl w:val="0"/>
          <w:numId w:val="2"/>
        </w:numPr>
        <w:tabs>
          <w:tab w:val="left" w:pos="361"/>
        </w:tabs>
        <w:spacing w:line="240" w:lineRule="auto"/>
      </w:pPr>
      <w:r>
        <w:t>Eksāmena programmas</w:t>
      </w:r>
      <w:r>
        <w:rPr>
          <w:spacing w:val="8"/>
        </w:rPr>
        <w:t xml:space="preserve"> </w:t>
      </w:r>
      <w:r>
        <w:t>saturs</w:t>
      </w:r>
    </w:p>
    <w:p w:rsidR="00082A8D" w:rsidRDefault="00082A8D">
      <w:pPr>
        <w:pStyle w:val="Pamatteksts"/>
        <w:spacing w:before="3"/>
        <w:ind w:left="0" w:firstLine="0"/>
        <w:jc w:val="left"/>
        <w:rPr>
          <w:b/>
          <w:sz w:val="22"/>
        </w:rPr>
      </w:pPr>
    </w:p>
    <w:p w:rsidR="00082A8D" w:rsidRDefault="00542665">
      <w:pPr>
        <w:pStyle w:val="Sarakstarindkopa"/>
        <w:numPr>
          <w:ilvl w:val="1"/>
          <w:numId w:val="2"/>
        </w:numPr>
        <w:tabs>
          <w:tab w:val="left" w:pos="687"/>
        </w:tabs>
        <w:spacing w:before="1"/>
        <w:ind w:right="148"/>
        <w:rPr>
          <w:sz w:val="24"/>
        </w:rPr>
      </w:pPr>
      <w:r>
        <w:rPr>
          <w:b/>
          <w:sz w:val="24"/>
        </w:rPr>
        <w:t>Rūpnieciskais</w:t>
      </w:r>
      <w:r>
        <w:rPr>
          <w:b/>
          <w:spacing w:val="-14"/>
          <w:sz w:val="24"/>
        </w:rPr>
        <w:t xml:space="preserve"> </w:t>
      </w:r>
      <w:r>
        <w:rPr>
          <w:b/>
          <w:sz w:val="24"/>
        </w:rPr>
        <w:t>īpašums</w:t>
      </w:r>
      <w:r>
        <w:rPr>
          <w:sz w:val="24"/>
        </w:rPr>
        <w:t>,</w:t>
      </w:r>
      <w:r>
        <w:rPr>
          <w:spacing w:val="-10"/>
          <w:sz w:val="24"/>
        </w:rPr>
        <w:t xml:space="preserve"> </w:t>
      </w:r>
      <w:r>
        <w:rPr>
          <w:sz w:val="24"/>
        </w:rPr>
        <w:t>tā</w:t>
      </w:r>
      <w:r>
        <w:rPr>
          <w:spacing w:val="-13"/>
          <w:sz w:val="24"/>
        </w:rPr>
        <w:t xml:space="preserve"> </w:t>
      </w:r>
      <w:r>
        <w:rPr>
          <w:sz w:val="24"/>
        </w:rPr>
        <w:t>vieta</w:t>
      </w:r>
      <w:r>
        <w:rPr>
          <w:spacing w:val="-13"/>
          <w:sz w:val="24"/>
        </w:rPr>
        <w:t xml:space="preserve"> </w:t>
      </w:r>
      <w:r>
        <w:rPr>
          <w:sz w:val="24"/>
        </w:rPr>
        <w:t>intelektuālā</w:t>
      </w:r>
      <w:r>
        <w:rPr>
          <w:spacing w:val="-10"/>
          <w:sz w:val="24"/>
        </w:rPr>
        <w:t xml:space="preserve"> </w:t>
      </w:r>
      <w:r>
        <w:rPr>
          <w:sz w:val="24"/>
        </w:rPr>
        <w:t>īpašuma</w:t>
      </w:r>
      <w:r>
        <w:rPr>
          <w:spacing w:val="-15"/>
          <w:sz w:val="24"/>
        </w:rPr>
        <w:t xml:space="preserve"> </w:t>
      </w:r>
      <w:r>
        <w:rPr>
          <w:sz w:val="24"/>
        </w:rPr>
        <w:t>tiesību</w:t>
      </w:r>
      <w:r>
        <w:rPr>
          <w:spacing w:val="-8"/>
          <w:sz w:val="24"/>
        </w:rPr>
        <w:t xml:space="preserve"> </w:t>
      </w:r>
      <w:r>
        <w:rPr>
          <w:sz w:val="24"/>
        </w:rPr>
        <w:t>sistēmā;</w:t>
      </w:r>
      <w:r>
        <w:rPr>
          <w:spacing w:val="-9"/>
          <w:sz w:val="24"/>
        </w:rPr>
        <w:t xml:space="preserve"> </w:t>
      </w:r>
      <w:r>
        <w:rPr>
          <w:sz w:val="24"/>
        </w:rPr>
        <w:t>rūpnieciskā</w:t>
      </w:r>
      <w:r>
        <w:rPr>
          <w:spacing w:val="-12"/>
          <w:sz w:val="24"/>
        </w:rPr>
        <w:t xml:space="preserve"> </w:t>
      </w:r>
      <w:r>
        <w:rPr>
          <w:sz w:val="24"/>
        </w:rPr>
        <w:t>īpašuma objekti, to tiesiskā aizsardzība un tiesību īstenošana – vispārīgie jēdzieni</w:t>
      </w:r>
      <w:r>
        <w:rPr>
          <w:spacing w:val="-6"/>
          <w:sz w:val="24"/>
        </w:rPr>
        <w:t xml:space="preserve"> </w:t>
      </w:r>
      <w:r>
        <w:rPr>
          <w:spacing w:val="2"/>
          <w:sz w:val="24"/>
        </w:rPr>
        <w:t>un</w:t>
      </w:r>
      <w:r w:rsidR="00C9425D">
        <w:rPr>
          <w:spacing w:val="2"/>
          <w:sz w:val="24"/>
        </w:rPr>
        <w:t xml:space="preserve"> </w:t>
      </w:r>
      <w:r>
        <w:rPr>
          <w:spacing w:val="2"/>
          <w:sz w:val="24"/>
        </w:rPr>
        <w:t>termini.</w:t>
      </w:r>
    </w:p>
    <w:p w:rsidR="00082A8D" w:rsidRDefault="00082A8D">
      <w:pPr>
        <w:pStyle w:val="Pamatteksts"/>
        <w:ind w:left="0" w:firstLine="0"/>
        <w:jc w:val="left"/>
        <w:rPr>
          <w:sz w:val="25"/>
        </w:rPr>
      </w:pPr>
    </w:p>
    <w:p w:rsidR="00082A8D" w:rsidRDefault="00542665">
      <w:pPr>
        <w:pStyle w:val="Virsraksts1"/>
        <w:numPr>
          <w:ilvl w:val="1"/>
          <w:numId w:val="2"/>
        </w:numPr>
        <w:tabs>
          <w:tab w:val="left" w:pos="682"/>
        </w:tabs>
        <w:ind w:left="682" w:hanging="420"/>
      </w:pPr>
      <w:r>
        <w:t>Latvijas Republikas rūpnieciskā īpašuma</w:t>
      </w:r>
      <w:r>
        <w:rPr>
          <w:spacing w:val="1"/>
        </w:rPr>
        <w:t xml:space="preserve"> </w:t>
      </w:r>
      <w:r>
        <w:t>likumi.</w:t>
      </w:r>
    </w:p>
    <w:p w:rsidR="00082A8D" w:rsidRDefault="00542665">
      <w:pPr>
        <w:pStyle w:val="Pamatteksts"/>
        <w:ind w:right="154"/>
      </w:pPr>
      <w:r>
        <w:t>Rūpnieciskā īpašuma tiesiskā aizsardzība un tiesību realizācija Latvijas Republikā: izgudrojumu aizsardzība, dizainparaugi, preču zīmes, ģeogrāfiskās izcelsmes norādes</w:t>
      </w:r>
      <w:r w:rsidR="006E0C71">
        <w:t>,</w:t>
      </w:r>
      <w:bookmarkStart w:id="0" w:name="_GoBack"/>
      <w:bookmarkEnd w:id="0"/>
      <w:r>
        <w:t xml:space="preserve"> aizsardzība pret negodīgu konkurenci.</w:t>
      </w:r>
    </w:p>
    <w:p w:rsidR="00082A8D" w:rsidRDefault="00542665">
      <w:pPr>
        <w:pStyle w:val="Pamatteksts"/>
        <w:ind w:left="259" w:firstLine="0"/>
      </w:pPr>
      <w:r>
        <w:t>Pusvadītāju izstrādājumu topogrāfijas jēdziens, reģistrācija un aizsardzība.</w:t>
      </w:r>
    </w:p>
    <w:p w:rsidR="00082A8D" w:rsidRDefault="00542665">
      <w:pPr>
        <w:pStyle w:val="Pamatteksts"/>
        <w:ind w:left="262" w:right="287" w:firstLine="0"/>
      </w:pPr>
      <w:r>
        <w:t>Patentu valde – tās pamatuzdevumi un kompetence, Rūpnieciskā īpašuma apelācijas padome. Izgudrojuma, dizainparauga, preču zīmes jēdziens.</w:t>
      </w:r>
    </w:p>
    <w:p w:rsidR="00082A8D" w:rsidRDefault="00542665">
      <w:pPr>
        <w:pStyle w:val="Pamatteksts"/>
        <w:ind w:right="149"/>
      </w:pPr>
      <w:r>
        <w:t>Izgudrojuma patentspēja. Izgudrojuma objekts. Preču zīmes reģistrācijas priekšnoteikumi: absolūtie</w:t>
      </w:r>
      <w:r>
        <w:rPr>
          <w:spacing w:val="-12"/>
        </w:rPr>
        <w:t xml:space="preserve"> </w:t>
      </w:r>
      <w:r>
        <w:t>un</w:t>
      </w:r>
      <w:r>
        <w:rPr>
          <w:spacing w:val="-6"/>
        </w:rPr>
        <w:t xml:space="preserve"> </w:t>
      </w:r>
      <w:r>
        <w:t>relatīvie</w:t>
      </w:r>
      <w:r>
        <w:rPr>
          <w:spacing w:val="-13"/>
        </w:rPr>
        <w:t xml:space="preserve"> </w:t>
      </w:r>
      <w:r>
        <w:t>pamatojumi</w:t>
      </w:r>
      <w:r>
        <w:rPr>
          <w:spacing w:val="-4"/>
        </w:rPr>
        <w:t xml:space="preserve"> </w:t>
      </w:r>
      <w:r>
        <w:t>reģistrācijas</w:t>
      </w:r>
      <w:r>
        <w:rPr>
          <w:spacing w:val="-3"/>
        </w:rPr>
        <w:t xml:space="preserve"> </w:t>
      </w:r>
      <w:r>
        <w:t>atteikumam</w:t>
      </w:r>
      <w:r>
        <w:rPr>
          <w:spacing w:val="-8"/>
        </w:rPr>
        <w:t xml:space="preserve"> </w:t>
      </w:r>
      <w:r>
        <w:t>vai</w:t>
      </w:r>
      <w:r>
        <w:rPr>
          <w:spacing w:val="-1"/>
        </w:rPr>
        <w:t xml:space="preserve"> </w:t>
      </w:r>
      <w:r>
        <w:t>atzīšanai</w:t>
      </w:r>
      <w:r>
        <w:rPr>
          <w:spacing w:val="-7"/>
        </w:rPr>
        <w:t xml:space="preserve"> </w:t>
      </w:r>
      <w:r>
        <w:t>par</w:t>
      </w:r>
      <w:r>
        <w:rPr>
          <w:spacing w:val="-14"/>
        </w:rPr>
        <w:t xml:space="preserve"> </w:t>
      </w:r>
      <w:r>
        <w:t>spēkā</w:t>
      </w:r>
      <w:r>
        <w:rPr>
          <w:spacing w:val="-10"/>
        </w:rPr>
        <w:t xml:space="preserve"> </w:t>
      </w:r>
      <w:r>
        <w:t>neesošu. Dizainparauga tiesiskās aizsardzības priekšnoteikumi. Neaizsargājami objekti patentu, preču zīmju, dizainparaugu</w:t>
      </w:r>
      <w:r>
        <w:rPr>
          <w:spacing w:val="-1"/>
        </w:rPr>
        <w:t xml:space="preserve"> </w:t>
      </w:r>
      <w:r>
        <w:t>jomā.</w:t>
      </w:r>
    </w:p>
    <w:p w:rsidR="00082A8D" w:rsidRDefault="00542665">
      <w:pPr>
        <w:pStyle w:val="Pamatteksts"/>
        <w:ind w:right="156"/>
      </w:pPr>
      <w:r>
        <w:t>Patenttiesību subjekti</w:t>
      </w:r>
      <w:r>
        <w:rPr>
          <w:i/>
        </w:rPr>
        <w:t xml:space="preserve">. </w:t>
      </w:r>
      <w:r>
        <w:t xml:space="preserve">Tiesības uz dizainparaugu vai preču zīmi un šo tiesību </w:t>
      </w:r>
      <w:r>
        <w:lastRenderedPageBreak/>
        <w:t>subjekti. Izgudrotāja un dizainera personiskās tiesības; tiesību uz patentu vai tiesību uz dizainparaugu atzīšana.</w:t>
      </w:r>
    </w:p>
    <w:p w:rsidR="00082A8D" w:rsidRDefault="00542665" w:rsidP="00C9425D">
      <w:pPr>
        <w:pStyle w:val="Pamatteksts"/>
        <w:ind w:right="149"/>
      </w:pPr>
      <w:r>
        <w:t xml:space="preserve">Izgudrojuma </w:t>
      </w:r>
      <w:proofErr w:type="spellStart"/>
      <w:r>
        <w:t>patentpieteikums</w:t>
      </w:r>
      <w:proofErr w:type="spellEnd"/>
      <w:r>
        <w:t xml:space="preserve"> un tā izskatīšana. Dizainparauga vai preču zīmes reģistrācijas procedūra.</w:t>
      </w:r>
      <w:r>
        <w:rPr>
          <w:spacing w:val="-14"/>
        </w:rPr>
        <w:t xml:space="preserve"> </w:t>
      </w:r>
      <w:r>
        <w:t>Pieteicēju</w:t>
      </w:r>
      <w:r>
        <w:rPr>
          <w:spacing w:val="-11"/>
        </w:rPr>
        <w:t xml:space="preserve"> </w:t>
      </w:r>
      <w:r>
        <w:t>pārstāvības</w:t>
      </w:r>
      <w:r>
        <w:rPr>
          <w:spacing w:val="-14"/>
        </w:rPr>
        <w:t xml:space="preserve"> </w:t>
      </w:r>
      <w:r>
        <w:t>kārtība</w:t>
      </w:r>
      <w:r>
        <w:rPr>
          <w:spacing w:val="-15"/>
        </w:rPr>
        <w:t xml:space="preserve"> </w:t>
      </w:r>
      <w:r>
        <w:t>Patentu</w:t>
      </w:r>
      <w:r>
        <w:rPr>
          <w:spacing w:val="-14"/>
        </w:rPr>
        <w:t xml:space="preserve"> </w:t>
      </w:r>
      <w:r>
        <w:t>valdē.</w:t>
      </w:r>
      <w:r>
        <w:rPr>
          <w:spacing w:val="-14"/>
        </w:rPr>
        <w:t xml:space="preserve"> </w:t>
      </w:r>
      <w:r>
        <w:t>Pieteikumā</w:t>
      </w:r>
      <w:r>
        <w:rPr>
          <w:spacing w:val="-17"/>
        </w:rPr>
        <w:t xml:space="preserve"> </w:t>
      </w:r>
      <w:r>
        <w:t>iekļaujamie</w:t>
      </w:r>
      <w:r>
        <w:rPr>
          <w:spacing w:val="-15"/>
        </w:rPr>
        <w:t xml:space="preserve"> </w:t>
      </w:r>
      <w:r>
        <w:t>dokumenti. Patenta pieteikuma sastādīšana. Izgudrojuma vienotība. Viena dizainparauga pieteikums un komplekss (ES tiesību aktu latviskojumos: kombinēts) dizainparauga pieteikums. Rūpnieciskā īpašuma objektu prioritāte, tās veidi. Pieteikuma iesniegšanas</w:t>
      </w:r>
      <w:r>
        <w:rPr>
          <w:spacing w:val="-32"/>
        </w:rPr>
        <w:t xml:space="preserve"> </w:t>
      </w:r>
      <w:r>
        <w:t>noteikumi;</w:t>
      </w:r>
      <w:r w:rsidR="00C9425D">
        <w:t xml:space="preserve"> </w:t>
      </w:r>
      <w:r>
        <w:t xml:space="preserve">grozījumu un papildinājumu iesniegšanas kārtība. Pieteikuma sadalīšana. Iespējamās procedūras noteikto termiņu neievērošanas gadījumos. Pieteikuma iepriekšējā izskatīšana. Pieteikuma izskatīšana pēc būtības (ekspertīze). Patenta piešķiršana, preču zīmes, dizainparauga, reģistrācija. Patentu valdes kompetence un pieteicēja tiesības </w:t>
      </w:r>
      <w:proofErr w:type="spellStart"/>
      <w:r>
        <w:t>unpienākumi</w:t>
      </w:r>
      <w:proofErr w:type="spellEnd"/>
      <w:r>
        <w:t xml:space="preserve"> pieteikuma izskatīšanas procesā.</w:t>
      </w:r>
    </w:p>
    <w:p w:rsidR="00082A8D" w:rsidRDefault="00542665">
      <w:pPr>
        <w:pStyle w:val="Pamatteksts"/>
        <w:spacing w:before="1"/>
        <w:ind w:right="150"/>
      </w:pPr>
      <w:r>
        <w:t xml:space="preserve">Apelācijas par Patentu valdes lēmumu pamatojums, tās iesniegšanas un izskatīšanas kārtība. Iebildums pret patenta izsniegšanu, dizainparauga vai preču zīmes reģistrāciju, iebilduma pamatojums, tā iesniegšanas un izskatīšanas kārtība un īpatnības. Pieteicēja, </w:t>
      </w:r>
      <w:proofErr w:type="spellStart"/>
      <w:r>
        <w:t>patentpilnvarnieka</w:t>
      </w:r>
      <w:proofErr w:type="spellEnd"/>
      <w:r>
        <w:t>, iebilduma iesniedzēja tiesības un pienākumi apelāciju un iebildumu izskatīšanā Rūpnieciskā īpašuma apelācijas padomē. Rūpnieciskā īpašuma apelācijas padomes lēmuma apstrīdēšanas (pārsūdzības) kārtība.</w:t>
      </w:r>
    </w:p>
    <w:p w:rsidR="00082A8D" w:rsidRDefault="00542665">
      <w:pPr>
        <w:pStyle w:val="Pamatteksts"/>
        <w:spacing w:before="2"/>
        <w:ind w:right="153"/>
      </w:pPr>
      <w:r>
        <w:t>No patenta, dizainparauga, preču zīmes vai pusvadītāju izstrādājumu topogrāfijas reģistrācijas izrietošās tiesības</w:t>
      </w:r>
      <w:r>
        <w:rPr>
          <w:i/>
        </w:rPr>
        <w:t xml:space="preserve">. </w:t>
      </w:r>
      <w:r>
        <w:t>Izņēmuma tiesību būtība un apjoms. Izņēmuma tiesību ierobežojumi. Rūpnieciskā īpašuma objektu aizsardzības termiņi un nosacījumi. Patenta spēkā uzturēšanas un reģistrāciju atjaunošanas noteikumi.</w:t>
      </w:r>
    </w:p>
    <w:p w:rsidR="00082A8D" w:rsidRDefault="00542665">
      <w:pPr>
        <w:pStyle w:val="Pamatteksts"/>
        <w:spacing w:before="1" w:line="244" w:lineRule="auto"/>
        <w:ind w:right="170"/>
      </w:pPr>
      <w:r>
        <w:t>Patents, dizainparauga vai preču zīmes reģistrācija kā īpašuma objekts. Izgudrojuma, dizainparauga, preču zīmes izmantošana; licenciāra un licenciāta tiesiskās attiecības.</w:t>
      </w:r>
    </w:p>
    <w:p w:rsidR="00082A8D" w:rsidRPr="00C9425D" w:rsidRDefault="00542665">
      <w:pPr>
        <w:pStyle w:val="Pamatteksts"/>
        <w:ind w:right="155"/>
      </w:pPr>
      <w:r>
        <w:t>Patenta,</w:t>
      </w:r>
      <w:r>
        <w:rPr>
          <w:spacing w:val="-12"/>
        </w:rPr>
        <w:t xml:space="preserve"> </w:t>
      </w:r>
      <w:r>
        <w:t>dizainparauga</w:t>
      </w:r>
      <w:r>
        <w:rPr>
          <w:spacing w:val="-11"/>
        </w:rPr>
        <w:t xml:space="preserve"> </w:t>
      </w:r>
      <w:r>
        <w:t>vai</w:t>
      </w:r>
      <w:r>
        <w:rPr>
          <w:spacing w:val="-9"/>
        </w:rPr>
        <w:t xml:space="preserve"> </w:t>
      </w:r>
      <w:r>
        <w:t>preču</w:t>
      </w:r>
      <w:r>
        <w:rPr>
          <w:spacing w:val="-9"/>
        </w:rPr>
        <w:t xml:space="preserve"> </w:t>
      </w:r>
      <w:r>
        <w:t>zīmes</w:t>
      </w:r>
      <w:r>
        <w:rPr>
          <w:spacing w:val="-7"/>
        </w:rPr>
        <w:t xml:space="preserve"> </w:t>
      </w:r>
      <w:r>
        <w:t>reģistrācijas</w:t>
      </w:r>
      <w:r>
        <w:rPr>
          <w:spacing w:val="-7"/>
        </w:rPr>
        <w:t xml:space="preserve"> </w:t>
      </w:r>
      <w:r>
        <w:t>īpašnieka</w:t>
      </w:r>
      <w:r>
        <w:rPr>
          <w:spacing w:val="-13"/>
        </w:rPr>
        <w:t xml:space="preserve"> </w:t>
      </w:r>
      <w:r>
        <w:t>izņēmuma</w:t>
      </w:r>
      <w:r>
        <w:rPr>
          <w:spacing w:val="-11"/>
        </w:rPr>
        <w:t xml:space="preserve"> </w:t>
      </w:r>
      <w:r>
        <w:t>tiesību</w:t>
      </w:r>
      <w:r>
        <w:rPr>
          <w:spacing w:val="-7"/>
        </w:rPr>
        <w:t xml:space="preserve"> </w:t>
      </w:r>
      <w:r>
        <w:t>pārkāpumi.</w:t>
      </w:r>
      <w:r>
        <w:rPr>
          <w:spacing w:val="-9"/>
        </w:rPr>
        <w:t xml:space="preserve"> </w:t>
      </w:r>
      <w:r>
        <w:t>No patenta, dizainparauga vai preču zīmes reģistrācijas izrietošo tiesību aizsardzība. Strīdu izskatīšana</w:t>
      </w:r>
      <w:r w:rsidRPr="00C9425D">
        <w:t>.</w:t>
      </w:r>
    </w:p>
    <w:p w:rsidR="00C9425D" w:rsidRDefault="00542665" w:rsidP="00C9425D">
      <w:pPr>
        <w:pStyle w:val="Pamatteksts"/>
        <w:ind w:right="161"/>
      </w:pPr>
      <w:r>
        <w:t xml:space="preserve">Īpaši noteikumi, kas attiecas uz starptautisko </w:t>
      </w:r>
      <w:proofErr w:type="spellStart"/>
      <w:r>
        <w:t>patentpieteikumu</w:t>
      </w:r>
      <w:proofErr w:type="spellEnd"/>
      <w:r>
        <w:t xml:space="preserve"> saskaņā ar </w:t>
      </w:r>
      <w:proofErr w:type="spellStart"/>
      <w:r>
        <w:t>Patentukooperācijas</w:t>
      </w:r>
      <w:proofErr w:type="spellEnd"/>
      <w:r>
        <w:t xml:space="preserve"> līgumu (PCT). Īpaši noteikumi Eiropas patenta attiecināšanai uz Latvijas Republiku. Eiropas patenta apstiprināšana Latvijas Republikā.</w:t>
      </w:r>
    </w:p>
    <w:p w:rsidR="00082A8D" w:rsidRDefault="00542665" w:rsidP="00C9425D">
      <w:pPr>
        <w:pStyle w:val="Pamatteksts"/>
        <w:ind w:right="161"/>
      </w:pPr>
      <w:r w:rsidRPr="00C9425D">
        <w:t>Preču zīmes reģistrācijas pirmstermiņa pārtraukšana: reģistrācijas atzīšana par spēkā neesošu un reģistrācijas atcelšana. Kolektīvās preču zīmes.</w:t>
      </w:r>
      <w:r w:rsidR="006E0C71">
        <w:t xml:space="preserve"> Sertifikācijas zīmes. </w:t>
      </w:r>
      <w:r w:rsidR="00C9425D" w:rsidRPr="00C9425D">
        <w:t>Preču zīmju veidi un atveidošanas paņēmieni.</w:t>
      </w:r>
      <w:r w:rsidR="00C9425D">
        <w:t xml:space="preserve"> </w:t>
      </w:r>
      <w:r>
        <w:t>Preču zīmes starptautiskā reģistrācija.</w:t>
      </w:r>
      <w:r w:rsidR="00C9425D">
        <w:t xml:space="preserve"> </w:t>
      </w:r>
      <w:r>
        <w:t xml:space="preserve"> Ģeogrāfiskās izcelsmes norādes.</w:t>
      </w:r>
    </w:p>
    <w:p w:rsidR="00082A8D" w:rsidRDefault="00542665">
      <w:pPr>
        <w:pStyle w:val="Pamatteksts"/>
        <w:ind w:left="262" w:right="1882" w:firstLine="0"/>
      </w:pPr>
      <w:r>
        <w:t>Dizainparauga reģistrācijas atzīšana par spēkā neesošu; tās pamatojumi. Maksas par rūpnieciskā īpašuma tiesisko aizsardzību un to samaksas kārtība.</w:t>
      </w:r>
    </w:p>
    <w:p w:rsidR="00082A8D" w:rsidRDefault="00082A8D">
      <w:pPr>
        <w:pStyle w:val="Pamatteksts"/>
        <w:spacing w:before="6"/>
        <w:ind w:left="0" w:firstLine="0"/>
        <w:jc w:val="left"/>
      </w:pPr>
    </w:p>
    <w:p w:rsidR="00082A8D" w:rsidRDefault="00542665">
      <w:pPr>
        <w:pStyle w:val="Virsraksts1"/>
        <w:numPr>
          <w:ilvl w:val="1"/>
          <w:numId w:val="2"/>
        </w:numPr>
        <w:tabs>
          <w:tab w:val="left" w:pos="682"/>
        </w:tabs>
        <w:ind w:left="682" w:hanging="420"/>
      </w:pPr>
      <w:r>
        <w:t>Starptautiskie līgumi un konvencijas rūpnieciskā īpašuma</w:t>
      </w:r>
      <w:r>
        <w:rPr>
          <w:spacing w:val="-2"/>
        </w:rPr>
        <w:t xml:space="preserve"> </w:t>
      </w:r>
      <w:r>
        <w:t>jomā.</w:t>
      </w:r>
    </w:p>
    <w:p w:rsidR="00082A8D" w:rsidRDefault="00542665">
      <w:pPr>
        <w:pStyle w:val="Pamatteksts"/>
        <w:ind w:right="173"/>
      </w:pPr>
      <w:r>
        <w:t>Parīzes konvencijas, Patentu kooperācijas līguma (PCT), Madrides nolīguma un Madrides protokola, Eiropas Patentu konvencijas galvenie noteikumi.</w:t>
      </w:r>
    </w:p>
    <w:p w:rsidR="00082A8D" w:rsidRDefault="00542665">
      <w:pPr>
        <w:pStyle w:val="Pamatteksts"/>
        <w:ind w:right="150"/>
      </w:pPr>
      <w:r>
        <w:t>Izcelsmes</w:t>
      </w:r>
      <w:r>
        <w:rPr>
          <w:spacing w:val="-2"/>
        </w:rPr>
        <w:t xml:space="preserve"> </w:t>
      </w:r>
      <w:r>
        <w:t>valsts</w:t>
      </w:r>
      <w:r>
        <w:rPr>
          <w:spacing w:val="-5"/>
        </w:rPr>
        <w:t xml:space="preserve"> </w:t>
      </w:r>
      <w:r>
        <w:t>un</w:t>
      </w:r>
      <w:r>
        <w:rPr>
          <w:spacing w:val="-7"/>
        </w:rPr>
        <w:t xml:space="preserve"> </w:t>
      </w:r>
      <w:r>
        <w:t>nacionālā</w:t>
      </w:r>
      <w:r>
        <w:rPr>
          <w:spacing w:val="-6"/>
        </w:rPr>
        <w:t xml:space="preserve"> </w:t>
      </w:r>
      <w:r>
        <w:t>režīma</w:t>
      </w:r>
      <w:r>
        <w:rPr>
          <w:spacing w:val="-11"/>
        </w:rPr>
        <w:t xml:space="preserve"> </w:t>
      </w:r>
      <w:r>
        <w:t>izpratne</w:t>
      </w:r>
      <w:r>
        <w:rPr>
          <w:spacing w:val="-7"/>
        </w:rPr>
        <w:t xml:space="preserve"> </w:t>
      </w:r>
      <w:r>
        <w:t>starptautiskajās</w:t>
      </w:r>
      <w:r>
        <w:rPr>
          <w:spacing w:val="-6"/>
        </w:rPr>
        <w:t xml:space="preserve"> </w:t>
      </w:r>
      <w:r>
        <w:t>konvencijās.</w:t>
      </w:r>
      <w:r>
        <w:rPr>
          <w:spacing w:val="3"/>
        </w:rPr>
        <w:t xml:space="preserve"> </w:t>
      </w:r>
      <w:r>
        <w:t>Šo</w:t>
      </w:r>
      <w:r>
        <w:rPr>
          <w:spacing w:val="-8"/>
        </w:rPr>
        <w:t xml:space="preserve"> </w:t>
      </w:r>
      <w:r>
        <w:t>jēdzienu</w:t>
      </w:r>
      <w:r>
        <w:rPr>
          <w:spacing w:val="-9"/>
        </w:rPr>
        <w:t xml:space="preserve"> </w:t>
      </w:r>
      <w:r>
        <w:t>saistība ar noteikumiem, kas regulē tiesības uz prioritāti, kā arī ārvalsts pieteicēju pieteikumu iesniegšanas kārtību Parīzes savienības</w:t>
      </w:r>
      <w:r>
        <w:rPr>
          <w:spacing w:val="-10"/>
        </w:rPr>
        <w:t xml:space="preserve"> </w:t>
      </w:r>
      <w:r>
        <w:t>valstīs.</w:t>
      </w:r>
    </w:p>
    <w:p w:rsidR="00082A8D" w:rsidRDefault="00542665">
      <w:pPr>
        <w:pStyle w:val="Pamatteksts"/>
        <w:ind w:right="157"/>
      </w:pPr>
      <w:r>
        <w:t>Starptautisko</w:t>
      </w:r>
      <w:r>
        <w:rPr>
          <w:spacing w:val="-14"/>
        </w:rPr>
        <w:t xml:space="preserve"> </w:t>
      </w:r>
      <w:r>
        <w:t>konvenciju</w:t>
      </w:r>
      <w:r>
        <w:rPr>
          <w:spacing w:val="1"/>
        </w:rPr>
        <w:t xml:space="preserve"> </w:t>
      </w:r>
      <w:r>
        <w:t>noteiktie</w:t>
      </w:r>
      <w:r>
        <w:rPr>
          <w:spacing w:val="-14"/>
        </w:rPr>
        <w:t xml:space="preserve"> </w:t>
      </w:r>
      <w:r>
        <w:t>rūpnieciskā</w:t>
      </w:r>
      <w:r>
        <w:rPr>
          <w:spacing w:val="-6"/>
        </w:rPr>
        <w:t xml:space="preserve"> </w:t>
      </w:r>
      <w:r>
        <w:t>īpašuma</w:t>
      </w:r>
      <w:r>
        <w:rPr>
          <w:spacing w:val="-15"/>
        </w:rPr>
        <w:t xml:space="preserve"> </w:t>
      </w:r>
      <w:r>
        <w:t>objektu</w:t>
      </w:r>
      <w:r>
        <w:rPr>
          <w:spacing w:val="-8"/>
        </w:rPr>
        <w:t xml:space="preserve"> </w:t>
      </w:r>
      <w:r>
        <w:t>patentspējas</w:t>
      </w:r>
      <w:r>
        <w:rPr>
          <w:spacing w:val="2"/>
        </w:rPr>
        <w:t xml:space="preserve"> </w:t>
      </w:r>
      <w:r>
        <w:t>un</w:t>
      </w:r>
      <w:r>
        <w:rPr>
          <w:spacing w:val="-11"/>
        </w:rPr>
        <w:t xml:space="preserve"> </w:t>
      </w:r>
      <w:proofErr w:type="spellStart"/>
      <w:r>
        <w:t>reģistrējamības</w:t>
      </w:r>
      <w:proofErr w:type="spellEnd"/>
      <w:r>
        <w:t xml:space="preserve"> kritēriji.</w:t>
      </w:r>
    </w:p>
    <w:p w:rsidR="00082A8D" w:rsidRDefault="00542665">
      <w:pPr>
        <w:pStyle w:val="Pamatteksts"/>
        <w:ind w:right="168"/>
      </w:pPr>
      <w:r>
        <w:t xml:space="preserve">Parīzes konvencija par prioritātes tiesībām: pamatprincipi, veidi, piešķiršanas </w:t>
      </w:r>
      <w:r>
        <w:lastRenderedPageBreak/>
        <w:t>noteikumi, speciālie gadījumi. PCT un Eiropas Patentu konvencijas prioritātes noteikumi.</w:t>
      </w:r>
    </w:p>
    <w:p w:rsidR="00082A8D" w:rsidRDefault="00542665">
      <w:pPr>
        <w:pStyle w:val="Pamatteksts"/>
        <w:ind w:right="160"/>
      </w:pPr>
      <w:r>
        <w:t xml:space="preserve">Starptautiskā </w:t>
      </w:r>
      <w:proofErr w:type="spellStart"/>
      <w:r>
        <w:t>patentpieteikuma</w:t>
      </w:r>
      <w:proofErr w:type="spellEnd"/>
      <w:r>
        <w:t>, Eiropas patenta pieteikuma</w:t>
      </w:r>
      <w:r w:rsidR="00753DB0">
        <w:t>, starptautiskā dizainparauga pieteikuma</w:t>
      </w:r>
      <w:r>
        <w:t xml:space="preserve"> un pieteikuma preču zīmes starptautiskajai reģistrācijai izpratne. Prasības starptautiskajam </w:t>
      </w:r>
      <w:proofErr w:type="spellStart"/>
      <w:r>
        <w:t>patentpieteikumam</w:t>
      </w:r>
      <w:proofErr w:type="spellEnd"/>
      <w:r w:rsidR="00753DB0">
        <w:t xml:space="preserve">, starptautiskā dizainparauga pieteikumam </w:t>
      </w:r>
      <w:r>
        <w:t>un pieteikumam preču zīmes starptautiskajai reģistrācijai, to saturs (sastāvs), iesniegšanas noteikumi un kārtība.</w:t>
      </w:r>
    </w:p>
    <w:p w:rsidR="00082A8D" w:rsidRDefault="00542665">
      <w:pPr>
        <w:pStyle w:val="Pamatteksts"/>
        <w:ind w:left="262" w:right="686" w:firstLine="0"/>
      </w:pPr>
      <w:r>
        <w:t xml:space="preserve">Starptautisko </w:t>
      </w:r>
      <w:proofErr w:type="spellStart"/>
      <w:r>
        <w:t>patentpieteikumu</w:t>
      </w:r>
      <w:proofErr w:type="spellEnd"/>
      <w:r>
        <w:t xml:space="preserve"> ekspertīzes galveno posmu raksturojums saskaņā ar </w:t>
      </w:r>
      <w:r>
        <w:rPr>
          <w:position w:val="1"/>
        </w:rPr>
        <w:t xml:space="preserve">PCT. </w:t>
      </w:r>
      <w:r>
        <w:t>Budapeštas līguma galvenie noteikumi.</w:t>
      </w:r>
    </w:p>
    <w:p w:rsidR="00082A8D" w:rsidRDefault="00542665">
      <w:pPr>
        <w:pStyle w:val="Pamatteksts"/>
        <w:ind w:right="150"/>
      </w:pPr>
      <w:r>
        <w:t>Preču</w:t>
      </w:r>
      <w:r>
        <w:rPr>
          <w:spacing w:val="-17"/>
        </w:rPr>
        <w:t xml:space="preserve"> </w:t>
      </w:r>
      <w:r>
        <w:t>zīmju</w:t>
      </w:r>
      <w:r>
        <w:rPr>
          <w:spacing w:val="-14"/>
        </w:rPr>
        <w:t xml:space="preserve"> </w:t>
      </w:r>
      <w:r>
        <w:t>starptautiskās</w:t>
      </w:r>
      <w:r>
        <w:rPr>
          <w:spacing w:val="-7"/>
        </w:rPr>
        <w:t xml:space="preserve"> </w:t>
      </w:r>
      <w:r>
        <w:t>reģistrācijas</w:t>
      </w:r>
      <w:r>
        <w:rPr>
          <w:spacing w:val="-9"/>
        </w:rPr>
        <w:t xml:space="preserve"> </w:t>
      </w:r>
      <w:r>
        <w:t>procedūras</w:t>
      </w:r>
      <w:r>
        <w:rPr>
          <w:spacing w:val="-9"/>
        </w:rPr>
        <w:t xml:space="preserve"> </w:t>
      </w:r>
      <w:r>
        <w:t>īpatnības.</w:t>
      </w:r>
      <w:r>
        <w:rPr>
          <w:spacing w:val="-15"/>
        </w:rPr>
        <w:t xml:space="preserve"> </w:t>
      </w:r>
      <w:r>
        <w:t>Parīzes</w:t>
      </w:r>
      <w:r>
        <w:rPr>
          <w:spacing w:val="-8"/>
        </w:rPr>
        <w:t xml:space="preserve"> </w:t>
      </w:r>
      <w:r>
        <w:t>konvencijas</w:t>
      </w:r>
      <w:r>
        <w:rPr>
          <w:spacing w:val="-11"/>
        </w:rPr>
        <w:t xml:space="preserve"> </w:t>
      </w:r>
      <w:r>
        <w:rPr>
          <w:position w:val="1"/>
        </w:rPr>
        <w:t>noteikumi</w:t>
      </w:r>
      <w:r>
        <w:rPr>
          <w:spacing w:val="-11"/>
          <w:position w:val="1"/>
        </w:rPr>
        <w:t xml:space="preserve"> </w:t>
      </w:r>
      <w:r>
        <w:rPr>
          <w:position w:val="1"/>
        </w:rPr>
        <w:t xml:space="preserve">par </w:t>
      </w:r>
      <w:r>
        <w:t>preču zīmju reģistrāciju.</w:t>
      </w:r>
    </w:p>
    <w:p w:rsidR="00082A8D" w:rsidRDefault="00082A8D">
      <w:pPr>
        <w:sectPr w:rsidR="00082A8D">
          <w:pgSz w:w="11940" w:h="16860"/>
          <w:pgMar w:top="1120" w:right="860" w:bottom="800" w:left="1560" w:header="0" w:footer="604" w:gutter="0"/>
          <w:cols w:space="720"/>
        </w:sectPr>
      </w:pPr>
    </w:p>
    <w:p w:rsidR="00082A8D" w:rsidRDefault="00542665">
      <w:pPr>
        <w:pStyle w:val="Pamatteksts"/>
        <w:spacing w:before="66"/>
        <w:ind w:right="173"/>
      </w:pPr>
      <w:r>
        <w:lastRenderedPageBreak/>
        <w:t>Madrides nolīguma un Madrides protokola noteikumi par preču zīmes nacionālās reģistrācijas un starptautiskās reģistrācijas savstarpējām juridiskām sakarībām.</w:t>
      </w:r>
    </w:p>
    <w:p w:rsidR="00082A8D" w:rsidRDefault="00542665">
      <w:pPr>
        <w:pStyle w:val="Pamatteksts"/>
        <w:ind w:right="156"/>
      </w:pPr>
      <w:r>
        <w:t>Preču zīmju līguma (TLT) un Singapūras līguma pamatnoteikumi un to ietekme uz dokumentu noformējumu un to iesniegšanas kārtību preču zīmju reģistrācijas procedūrā.</w:t>
      </w:r>
    </w:p>
    <w:p w:rsidR="00082A8D" w:rsidRDefault="00542665">
      <w:pPr>
        <w:pStyle w:val="Pamatteksts"/>
        <w:spacing w:before="1"/>
        <w:ind w:right="171"/>
      </w:pPr>
      <w:r>
        <w:t>Saskaņā ar Nicas Nolīgumu iedibinātās Preču un pakalpojumu starptautiskās klasifikācijas preču zīmju reģistrācijas vajadzībām (Nicas klasifikācijas) pamatprincipi.</w:t>
      </w:r>
    </w:p>
    <w:p w:rsidR="00082A8D" w:rsidRDefault="00542665">
      <w:pPr>
        <w:pStyle w:val="Pamatteksts"/>
        <w:spacing w:before="2"/>
        <w:ind w:right="164"/>
      </w:pPr>
      <w:r>
        <w:t>Hāgas vienošanās Ženēvas akta pamatprincipi un galvenie noteikumi. Dizainparaugu starptautiskās reģistrācijas procedūra. Saskaņā ar Lokarno nolīgumu izveidotās Dizainparaugu starptautiskās klasifikācijas (Lokarno klasifikācijas) pamatprincipi.</w:t>
      </w:r>
    </w:p>
    <w:p w:rsidR="00082A8D" w:rsidRDefault="00542665">
      <w:pPr>
        <w:pStyle w:val="Pamatteksts"/>
        <w:ind w:right="161"/>
      </w:pPr>
      <w:r>
        <w:t xml:space="preserve">TRIPS līguma galvenie noteikumi attiecībā uz rūpnieciskā īpašuma objektu aizsardzības </w:t>
      </w:r>
      <w:proofErr w:type="spellStart"/>
      <w:r>
        <w:t>materiāltiesiskajām</w:t>
      </w:r>
      <w:proofErr w:type="spellEnd"/>
      <w:r>
        <w:t xml:space="preserve"> normām, tiesību īstenošanu un procedūrām tiesību iegūšanai un uzturēšanai spēkā.</w:t>
      </w:r>
    </w:p>
    <w:p w:rsidR="00082A8D" w:rsidRDefault="00082A8D">
      <w:pPr>
        <w:pStyle w:val="Pamatteksts"/>
        <w:spacing w:before="3"/>
        <w:ind w:left="0" w:firstLine="0"/>
        <w:jc w:val="left"/>
        <w:rPr>
          <w:sz w:val="25"/>
        </w:rPr>
      </w:pPr>
    </w:p>
    <w:p w:rsidR="00082A8D" w:rsidRDefault="00542665">
      <w:pPr>
        <w:pStyle w:val="Virsraksts1"/>
        <w:numPr>
          <w:ilvl w:val="1"/>
          <w:numId w:val="2"/>
        </w:numPr>
        <w:tabs>
          <w:tab w:val="left" w:pos="682"/>
        </w:tabs>
        <w:spacing w:before="1"/>
        <w:ind w:left="682" w:hanging="420"/>
      </w:pPr>
      <w:r>
        <w:t>Eiropas Savienības tiesību akti rūpnieciskā īpašuma</w:t>
      </w:r>
      <w:r>
        <w:rPr>
          <w:spacing w:val="-7"/>
        </w:rPr>
        <w:t xml:space="preserve"> </w:t>
      </w:r>
      <w:r>
        <w:t>jomā.</w:t>
      </w:r>
    </w:p>
    <w:p w:rsidR="00082A8D" w:rsidRDefault="00542665">
      <w:pPr>
        <w:pStyle w:val="Pamatteksts"/>
        <w:ind w:right="170"/>
      </w:pPr>
      <w:r>
        <w:t>Regulas Nr. 469/2009 un Regulas Nr. 1610/96 piemērošana papildu aizsardzības sertifikātu iegūšanai zālēm un augu aizsardzības līdzekļiem.</w:t>
      </w:r>
    </w:p>
    <w:p w:rsidR="00082A8D" w:rsidRDefault="00542665">
      <w:pPr>
        <w:pStyle w:val="Pamatteksts"/>
        <w:ind w:right="157"/>
      </w:pPr>
      <w:r>
        <w:t>Direktīvas Nr. 2015/2436 mērķi un galvenie noteikumi attiecībā uz preču zīmju aizsardzības regulējumu Eiropas Savienībā.</w:t>
      </w:r>
    </w:p>
    <w:p w:rsidR="00082A8D" w:rsidRDefault="00542665">
      <w:pPr>
        <w:pStyle w:val="Pamatteksts"/>
        <w:ind w:right="168"/>
      </w:pPr>
      <w:r>
        <w:t xml:space="preserve">Regulas Nr. </w:t>
      </w:r>
      <w:r w:rsidRPr="00425EBA">
        <w:t xml:space="preserve">2017/1001, </w:t>
      </w:r>
      <w:r w:rsidR="00425EBA" w:rsidRPr="00425EBA">
        <w:t>R</w:t>
      </w:r>
      <w:r w:rsidR="00425EBA" w:rsidRPr="00425EBA">
        <w:rPr>
          <w:rFonts w:ascii="New" w:hAnsi="New"/>
        </w:rPr>
        <w:t xml:space="preserve">egulas (ES)2018/625 un Regulas (ES) 2018/626 </w:t>
      </w:r>
      <w:r w:rsidRPr="00425EBA">
        <w:t>pamatprincipi un galvenie noteikumi</w:t>
      </w:r>
      <w:r>
        <w:t xml:space="preserve"> par Eiropas Savienības preču zīmēm.</w:t>
      </w:r>
    </w:p>
    <w:p w:rsidR="00082A8D" w:rsidRDefault="00542665">
      <w:pPr>
        <w:pStyle w:val="Pamatteksts"/>
        <w:ind w:right="151"/>
      </w:pPr>
      <w:r>
        <w:t>Eiropas Savienības preču zīmju reģistrācijas sistēmas vispārējs raksturojums. Eiropas Savienības preču zīmes reģistrācijas pieteikuma iesniegšana. Eiropas Savienības preču zīmes reģistrācijas pieteikuma saturs un pieteikuma izskatīšanas procedūra.</w:t>
      </w:r>
    </w:p>
    <w:p w:rsidR="00082A8D" w:rsidRDefault="00542665">
      <w:pPr>
        <w:pStyle w:val="Pamatteksts"/>
        <w:ind w:right="164"/>
      </w:pPr>
      <w:r>
        <w:t xml:space="preserve">Eiropas Savienības preču zīmju </w:t>
      </w:r>
      <w:proofErr w:type="spellStart"/>
      <w:r>
        <w:t>senioritāte</w:t>
      </w:r>
      <w:proofErr w:type="spellEnd"/>
      <w:r>
        <w:t xml:space="preserve"> (ES tiesību aktu latviskojumos: pretendēšana uz valsts preču zīmes agrāku izcelsmi; Regulas Nr. 2017/1001 39. un 40. pants).</w:t>
      </w:r>
    </w:p>
    <w:p w:rsidR="00082A8D" w:rsidRDefault="00542665">
      <w:pPr>
        <w:pStyle w:val="Pamatteksts"/>
        <w:ind w:right="167"/>
      </w:pPr>
      <w:r>
        <w:t>Iebildumu iesniegšana pret Eiropas Savienības preču zīmes pieteikumu; to izskatīšanas procedūra.</w:t>
      </w:r>
    </w:p>
    <w:p w:rsidR="00082A8D" w:rsidRDefault="00542665">
      <w:pPr>
        <w:pStyle w:val="Pamatteksts"/>
        <w:ind w:left="730" w:right="153" w:hanging="406"/>
        <w:jc w:val="right"/>
      </w:pPr>
      <w:r>
        <w:t>Preču</w:t>
      </w:r>
      <w:r>
        <w:rPr>
          <w:spacing w:val="-24"/>
        </w:rPr>
        <w:t xml:space="preserve"> </w:t>
      </w:r>
      <w:r>
        <w:t>zīmju</w:t>
      </w:r>
      <w:r>
        <w:rPr>
          <w:spacing w:val="-22"/>
        </w:rPr>
        <w:t xml:space="preserve"> </w:t>
      </w:r>
      <w:r>
        <w:t>starptautiskās</w:t>
      </w:r>
      <w:r>
        <w:rPr>
          <w:spacing w:val="-20"/>
        </w:rPr>
        <w:t xml:space="preserve"> </w:t>
      </w:r>
      <w:r>
        <w:t>reģistrācijas,</w:t>
      </w:r>
      <w:r>
        <w:rPr>
          <w:spacing w:val="-18"/>
        </w:rPr>
        <w:t xml:space="preserve"> </w:t>
      </w:r>
      <w:r>
        <w:t>ko</w:t>
      </w:r>
      <w:r>
        <w:rPr>
          <w:spacing w:val="-22"/>
        </w:rPr>
        <w:t xml:space="preserve"> </w:t>
      </w:r>
      <w:r>
        <w:t>attiecina</w:t>
      </w:r>
      <w:r>
        <w:rPr>
          <w:spacing w:val="-24"/>
        </w:rPr>
        <w:t xml:space="preserve"> </w:t>
      </w:r>
      <w:r>
        <w:t>uz</w:t>
      </w:r>
      <w:r>
        <w:rPr>
          <w:spacing w:val="-18"/>
        </w:rPr>
        <w:t xml:space="preserve"> </w:t>
      </w:r>
      <w:r>
        <w:t>Eiropas</w:t>
      </w:r>
      <w:r>
        <w:rPr>
          <w:spacing w:val="-21"/>
        </w:rPr>
        <w:t xml:space="preserve"> </w:t>
      </w:r>
      <w:r>
        <w:t>Savienību,</w:t>
      </w:r>
      <w:r>
        <w:rPr>
          <w:spacing w:val="-21"/>
        </w:rPr>
        <w:t xml:space="preserve"> </w:t>
      </w:r>
      <w:r>
        <w:t>procedūras</w:t>
      </w:r>
      <w:r>
        <w:rPr>
          <w:spacing w:val="-22"/>
        </w:rPr>
        <w:t xml:space="preserve"> </w:t>
      </w:r>
      <w:r>
        <w:t>īpatnības.</w:t>
      </w:r>
      <w:r>
        <w:rPr>
          <w:spacing w:val="-1"/>
        </w:rPr>
        <w:t xml:space="preserve"> </w:t>
      </w:r>
      <w:r>
        <w:t>Eiropas Savienības preču zīmju pārveide jeb konversija (ES tiesību</w:t>
      </w:r>
      <w:r>
        <w:rPr>
          <w:spacing w:val="-12"/>
        </w:rPr>
        <w:t xml:space="preserve"> </w:t>
      </w:r>
      <w:r>
        <w:t>aktu</w:t>
      </w:r>
      <w:r>
        <w:rPr>
          <w:spacing w:val="3"/>
        </w:rPr>
        <w:t xml:space="preserve"> </w:t>
      </w:r>
      <w:r>
        <w:t>latviskojumos:</w:t>
      </w:r>
      <w:r>
        <w:rPr>
          <w:w w:val="99"/>
        </w:rPr>
        <w:t xml:space="preserve"> </w:t>
      </w:r>
      <w:r>
        <w:t>pārvēršana par pieteikumu valsts preču zīmes saņemšanai) – vispārējā procedūra.</w:t>
      </w:r>
      <w:r>
        <w:rPr>
          <w:spacing w:val="29"/>
        </w:rPr>
        <w:t xml:space="preserve"> </w:t>
      </w:r>
      <w:r>
        <w:t>Eiropas</w:t>
      </w:r>
    </w:p>
    <w:p w:rsidR="00082A8D" w:rsidRDefault="00542665">
      <w:pPr>
        <w:pStyle w:val="Pamatteksts"/>
        <w:ind w:firstLine="0"/>
        <w:jc w:val="left"/>
      </w:pPr>
      <w:r>
        <w:t>Savienības preču zīmes pārveide par preču zīmes pieteikumu Latvijā.</w:t>
      </w:r>
    </w:p>
    <w:p w:rsidR="00082A8D" w:rsidRDefault="00542665">
      <w:pPr>
        <w:pStyle w:val="Pamatteksts"/>
        <w:ind w:right="628"/>
        <w:jc w:val="left"/>
      </w:pPr>
      <w:r>
        <w:t>Eiropas Savienības preču zīmju reģistrācijas anulēšanas veidi (atteikšanās, atcelšana, paziņošana par spēkā neesamību) un procedūra.</w:t>
      </w:r>
    </w:p>
    <w:p w:rsidR="00082A8D" w:rsidRDefault="00542665">
      <w:pPr>
        <w:pStyle w:val="Pamatteksts"/>
        <w:jc w:val="left"/>
      </w:pPr>
      <w:r>
        <w:t>Eiropas Savienības preču zīmju tiesiskais spēks (ES tiesību aktu latviskojumos arī: derīgums) Latvijā.</w:t>
      </w:r>
    </w:p>
    <w:p w:rsidR="00082A8D" w:rsidRDefault="00542665">
      <w:pPr>
        <w:pStyle w:val="Pamatteksts"/>
        <w:spacing w:before="1" w:line="274" w:lineRule="exact"/>
        <w:ind w:left="262" w:firstLine="0"/>
        <w:jc w:val="left"/>
      </w:pPr>
      <w:r>
        <w:t>Eiropas Savienības preču zīmju izmantošanas (lietošanas) noteikumi.</w:t>
      </w:r>
    </w:p>
    <w:p w:rsidR="00082A8D" w:rsidRDefault="00542665">
      <w:pPr>
        <w:pStyle w:val="Pamatteksts"/>
        <w:ind w:right="615"/>
        <w:jc w:val="left"/>
      </w:pPr>
      <w:r>
        <w:t>Direktīvas 98/71/EK mērķi un galvenie noteikumi attiecībā uz dizainparaugu aizsardzības regulējumu Eiropas Savienībā.</w:t>
      </w:r>
    </w:p>
    <w:p w:rsidR="00082A8D" w:rsidRDefault="00542665">
      <w:pPr>
        <w:pStyle w:val="Pamatteksts"/>
        <w:ind w:right="814"/>
        <w:jc w:val="left"/>
      </w:pPr>
      <w:r>
        <w:t>Regulas Nr. 6/2002 un Regulas Nr. 2245/2002 pamatprincipi un galvenie noteikumi par Kopienas dizainparaugiem.</w:t>
      </w:r>
    </w:p>
    <w:p w:rsidR="00082A8D" w:rsidRDefault="00542665">
      <w:pPr>
        <w:pStyle w:val="Pamatteksts"/>
        <w:ind w:left="262" w:firstLine="0"/>
        <w:jc w:val="left"/>
      </w:pPr>
      <w:r>
        <w:t>Nereģistrētie un reģistrētie Kopienas dizainparaugi; to aizsardzības īpatnības.</w:t>
      </w:r>
    </w:p>
    <w:p w:rsidR="00082A8D" w:rsidRDefault="00542665">
      <w:pPr>
        <w:pStyle w:val="Pamatteksts"/>
        <w:ind w:right="628"/>
        <w:jc w:val="left"/>
      </w:pPr>
      <w:r>
        <w:t>Eiropas Savienības Intelektuālā īpašuma biroja (</w:t>
      </w:r>
      <w:r>
        <w:rPr>
          <w:i/>
        </w:rPr>
        <w:t>EUIPO</w:t>
      </w:r>
      <w:r>
        <w:t xml:space="preserve">) pamatfunkcijas un kompetence; pārstāvja sadarbība ar </w:t>
      </w:r>
      <w:r>
        <w:rPr>
          <w:i/>
        </w:rPr>
        <w:t>EUIPO</w:t>
      </w:r>
      <w:r>
        <w:t>.</w:t>
      </w:r>
    </w:p>
    <w:p w:rsidR="00082A8D" w:rsidRDefault="00542665">
      <w:pPr>
        <w:pStyle w:val="Pamatteksts"/>
        <w:ind w:left="254" w:firstLine="0"/>
        <w:jc w:val="left"/>
      </w:pPr>
      <w:r>
        <w:t>Direktīvas Nr. 2004/48/EK pamatprincipi un galvenie noteikumi attiecībā uz intelektuālā</w:t>
      </w:r>
    </w:p>
    <w:p w:rsidR="00082A8D" w:rsidRDefault="00542665">
      <w:pPr>
        <w:pStyle w:val="Pamatteksts"/>
        <w:ind w:firstLine="0"/>
        <w:jc w:val="left"/>
      </w:pPr>
      <w:r>
        <w:t xml:space="preserve">īpašuma tiesību piemērošanu; to ietekme uz dalībvalstu rūpnieciskā īpašuma </w:t>
      </w:r>
      <w:r>
        <w:lastRenderedPageBreak/>
        <w:t>regulējumu.</w:t>
      </w:r>
    </w:p>
    <w:p w:rsidR="00082A8D" w:rsidRDefault="00082A8D">
      <w:pPr>
        <w:pStyle w:val="Pamatteksts"/>
        <w:ind w:left="0" w:firstLine="0"/>
        <w:jc w:val="left"/>
        <w:rPr>
          <w:sz w:val="20"/>
        </w:rPr>
      </w:pPr>
    </w:p>
    <w:p w:rsidR="00082A8D" w:rsidRDefault="00425EBA">
      <w:pPr>
        <w:pStyle w:val="Pamatteksts"/>
        <w:spacing w:before="1"/>
        <w:ind w:left="0" w:firstLine="0"/>
        <w:jc w:val="left"/>
        <w:rPr>
          <w:sz w:val="17"/>
        </w:rPr>
      </w:pPr>
      <w:r>
        <w:rPr>
          <w:noProof/>
          <w:lang w:eastAsia="lv-LV" w:bidi="lo-LA"/>
        </w:rPr>
        <mc:AlternateContent>
          <mc:Choice Requires="wps">
            <w:drawing>
              <wp:anchor distT="0" distB="0" distL="0" distR="0" simplePos="0" relativeHeight="251657728" behindDoc="1" locked="0" layoutInCell="1" allowOverlap="1">
                <wp:simplePos x="0" y="0"/>
                <wp:positionH relativeFrom="page">
                  <wp:posOffset>3416300</wp:posOffset>
                </wp:positionH>
                <wp:positionV relativeFrom="paragraph">
                  <wp:posOffset>151765</wp:posOffset>
                </wp:positionV>
                <wp:extent cx="102235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0" cy="1270"/>
                        </a:xfrm>
                        <a:custGeom>
                          <a:avLst/>
                          <a:gdLst>
                            <a:gd name="T0" fmla="+- 0 5380 5380"/>
                            <a:gd name="T1" fmla="*/ T0 w 1610"/>
                            <a:gd name="T2" fmla="+- 0 6990 5380"/>
                            <a:gd name="T3" fmla="*/ T2 w 1610"/>
                          </a:gdLst>
                          <a:ahLst/>
                          <a:cxnLst>
                            <a:cxn ang="0">
                              <a:pos x="T1" y="0"/>
                            </a:cxn>
                            <a:cxn ang="0">
                              <a:pos x="T3" y="0"/>
                            </a:cxn>
                          </a:cxnLst>
                          <a:rect l="0" t="0" r="r" b="b"/>
                          <a:pathLst>
                            <a:path w="1610">
                              <a:moveTo>
                                <a:pt x="0" y="0"/>
                              </a:moveTo>
                              <a:lnTo>
                                <a:pt x="1610" y="0"/>
                              </a:lnTo>
                            </a:path>
                          </a:pathLst>
                        </a:custGeom>
                        <a:noFill/>
                        <a:ln w="35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05D36" id="Freeform 2" o:spid="_x0000_s1026" style="position:absolute;margin-left:269pt;margin-top:11.95pt;width:8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" path="m,l1610,e" filled="f" strokeweight=".09906mm">
                <v:path arrowok="t" o:connecttype="custom" o:connectlocs="0,0;1022350,0" o:connectangles="0,0"/>
                <w10:wrap type="topAndBottom" anchorx="page"/>
              </v:shape>
            </w:pict>
          </mc:Fallback>
        </mc:AlternateContent>
      </w:r>
    </w:p>
    <w:sectPr w:rsidR="00082A8D">
      <w:pgSz w:w="11940" w:h="16860"/>
      <w:pgMar w:top="1200" w:right="860" w:bottom="800" w:left="1560" w:header="0" w:footer="6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665" w:rsidRDefault="00542665">
      <w:r>
        <w:separator/>
      </w:r>
    </w:p>
  </w:endnote>
  <w:endnote w:type="continuationSeparator" w:id="0">
    <w:p w:rsidR="00542665" w:rsidRDefault="0054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DokChampa">
    <w:altName w:val="Leelawadee UI"/>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New">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A8D" w:rsidRDefault="00425EBA">
    <w:pPr>
      <w:pStyle w:val="Pamatteksts"/>
      <w:spacing w:line="14" w:lineRule="auto"/>
      <w:ind w:left="0" w:firstLine="0"/>
      <w:jc w:val="left"/>
      <w:rPr>
        <w:sz w:val="20"/>
      </w:rPr>
    </w:pPr>
    <w:r>
      <w:rPr>
        <w:noProof/>
        <w:lang w:eastAsia="lv-LV" w:bidi="lo-LA"/>
      </w:rPr>
      <mc:AlternateContent>
        <mc:Choice Requires="wps">
          <w:drawing>
            <wp:anchor distT="0" distB="0" distL="114300" distR="114300" simplePos="0" relativeHeight="251657728" behindDoc="1" locked="0" layoutInCell="1" allowOverlap="1">
              <wp:simplePos x="0" y="0"/>
              <wp:positionH relativeFrom="page">
                <wp:posOffset>3930015</wp:posOffset>
              </wp:positionH>
              <wp:positionV relativeFrom="page">
                <wp:posOffset>10182860</wp:posOffset>
              </wp:positionV>
              <wp:extent cx="13398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A8D" w:rsidRDefault="00542665">
                          <w:pPr>
                            <w:spacing w:before="10"/>
                            <w:ind w:left="60"/>
                            <w:rPr>
                              <w:sz w:val="20"/>
                            </w:rPr>
                          </w:pPr>
                          <w:r>
                            <w:fldChar w:fldCharType="begin"/>
                          </w:r>
                          <w:r>
                            <w:rPr>
                              <w:w w:val="90"/>
                              <w:sz w:val="20"/>
                            </w:rPr>
                            <w:instrText xml:space="preserve"> PAGE </w:instrText>
                          </w:r>
                          <w:r>
                            <w:fldChar w:fldCharType="separate"/>
                          </w:r>
                          <w:r w:rsidR="006E0C71">
                            <w:rPr>
                              <w:noProof/>
                              <w:w w:val="90"/>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9.45pt;margin-top:801.8pt;width:10.5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" filled="f" stroked="f">
              <v:textbox inset="0,0,0,0">
                <w:txbxContent>
                  <w:p w:rsidR="00082A8D" w:rsidRDefault="00542665">
                    <w:pPr>
                      <w:spacing w:before="10"/>
                      <w:ind w:left="60"/>
                      <w:rPr>
                        <w:sz w:val="20"/>
                      </w:rPr>
                    </w:pPr>
                    <w:r>
                      <w:fldChar w:fldCharType="begin"/>
                    </w:r>
                    <w:r>
                      <w:rPr>
                        <w:w w:val="90"/>
                        <w:sz w:val="20"/>
                      </w:rPr>
                      <w:instrText xml:space="preserve"> PAGE </w:instrText>
                    </w:r>
                    <w:r>
                      <w:fldChar w:fldCharType="separate"/>
                    </w:r>
                    <w:r w:rsidR="006E0C71">
                      <w:rPr>
                        <w:noProof/>
                        <w:w w:val="90"/>
                        <w:sz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665" w:rsidRDefault="00542665">
      <w:r>
        <w:separator/>
      </w:r>
    </w:p>
  </w:footnote>
  <w:footnote w:type="continuationSeparator" w:id="0">
    <w:p w:rsidR="00542665" w:rsidRDefault="00542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25868"/>
    <w:multiLevelType w:val="multilevel"/>
    <w:tmpl w:val="2E0833E6"/>
    <w:lvl w:ilvl="0">
      <w:start w:val="1"/>
      <w:numFmt w:val="decimal"/>
      <w:lvlText w:val="%1"/>
      <w:lvlJc w:val="left"/>
      <w:pPr>
        <w:ind w:left="1075" w:hanging="720"/>
      </w:pPr>
      <w:rPr>
        <w:rFonts w:hint="default"/>
        <w:lang w:val="lv-LV" w:eastAsia="en-US" w:bidi="ar-SA"/>
      </w:rPr>
    </w:lvl>
    <w:lvl w:ilvl="1">
      <w:start w:val="2"/>
      <w:numFmt w:val="decimal"/>
      <w:lvlText w:val="%1.%2"/>
      <w:lvlJc w:val="left"/>
      <w:pPr>
        <w:ind w:left="1075" w:hanging="720"/>
      </w:pPr>
      <w:rPr>
        <w:rFonts w:hint="default"/>
        <w:lang w:val="lv-LV" w:eastAsia="en-US" w:bidi="ar-SA"/>
      </w:rPr>
    </w:lvl>
    <w:lvl w:ilvl="2">
      <w:start w:val="3"/>
      <w:numFmt w:val="decimal"/>
      <w:lvlText w:val="%1.%2.%3."/>
      <w:lvlJc w:val="left"/>
      <w:pPr>
        <w:ind w:left="1075" w:hanging="720"/>
      </w:pPr>
      <w:rPr>
        <w:rFonts w:ascii="Times New Roman" w:eastAsia="Times New Roman" w:hAnsi="Times New Roman" w:cs="Times New Roman" w:hint="default"/>
        <w:spacing w:val="-16"/>
        <w:w w:val="95"/>
        <w:sz w:val="24"/>
        <w:szCs w:val="24"/>
        <w:lang w:val="lv-LV" w:eastAsia="en-US" w:bidi="ar-SA"/>
      </w:rPr>
    </w:lvl>
    <w:lvl w:ilvl="3">
      <w:numFmt w:val="bullet"/>
      <w:lvlText w:val=""/>
      <w:lvlJc w:val="left"/>
      <w:pPr>
        <w:ind w:left="1536" w:hanging="360"/>
      </w:pPr>
      <w:rPr>
        <w:rFonts w:ascii="Wingdings" w:eastAsia="Wingdings" w:hAnsi="Wingdings" w:cs="Wingdings" w:hint="default"/>
        <w:w w:val="100"/>
        <w:sz w:val="24"/>
        <w:szCs w:val="24"/>
        <w:lang w:val="lv-LV" w:eastAsia="en-US" w:bidi="ar-SA"/>
      </w:rPr>
    </w:lvl>
    <w:lvl w:ilvl="4">
      <w:numFmt w:val="bullet"/>
      <w:lvlText w:val="•"/>
      <w:lvlJc w:val="left"/>
      <w:pPr>
        <w:ind w:left="4200" w:hanging="360"/>
      </w:pPr>
      <w:rPr>
        <w:rFonts w:hint="default"/>
        <w:lang w:val="lv-LV" w:eastAsia="en-US" w:bidi="ar-SA"/>
      </w:rPr>
    </w:lvl>
    <w:lvl w:ilvl="5">
      <w:numFmt w:val="bullet"/>
      <w:lvlText w:val="•"/>
      <w:lvlJc w:val="left"/>
      <w:pPr>
        <w:ind w:left="5086" w:hanging="360"/>
      </w:pPr>
      <w:rPr>
        <w:rFonts w:hint="default"/>
        <w:lang w:val="lv-LV" w:eastAsia="en-US" w:bidi="ar-SA"/>
      </w:rPr>
    </w:lvl>
    <w:lvl w:ilvl="6">
      <w:numFmt w:val="bullet"/>
      <w:lvlText w:val="•"/>
      <w:lvlJc w:val="left"/>
      <w:pPr>
        <w:ind w:left="5973" w:hanging="360"/>
      </w:pPr>
      <w:rPr>
        <w:rFonts w:hint="default"/>
        <w:lang w:val="lv-LV" w:eastAsia="en-US" w:bidi="ar-SA"/>
      </w:rPr>
    </w:lvl>
    <w:lvl w:ilvl="7">
      <w:numFmt w:val="bullet"/>
      <w:lvlText w:val="•"/>
      <w:lvlJc w:val="left"/>
      <w:pPr>
        <w:ind w:left="6860" w:hanging="360"/>
      </w:pPr>
      <w:rPr>
        <w:rFonts w:hint="default"/>
        <w:lang w:val="lv-LV" w:eastAsia="en-US" w:bidi="ar-SA"/>
      </w:rPr>
    </w:lvl>
    <w:lvl w:ilvl="8">
      <w:numFmt w:val="bullet"/>
      <w:lvlText w:val="•"/>
      <w:lvlJc w:val="left"/>
      <w:pPr>
        <w:ind w:left="7746" w:hanging="360"/>
      </w:pPr>
      <w:rPr>
        <w:rFonts w:hint="default"/>
        <w:lang w:val="lv-LV" w:eastAsia="en-US" w:bidi="ar-SA"/>
      </w:rPr>
    </w:lvl>
  </w:abstractNum>
  <w:abstractNum w:abstractNumId="1" w15:restartNumberingAfterBreak="0">
    <w:nsid w:val="54DC40EB"/>
    <w:multiLevelType w:val="multilevel"/>
    <w:tmpl w:val="566E498E"/>
    <w:lvl w:ilvl="0">
      <w:start w:val="1"/>
      <w:numFmt w:val="decimal"/>
      <w:lvlText w:val="%1."/>
      <w:lvlJc w:val="left"/>
      <w:pPr>
        <w:ind w:left="360" w:hanging="243"/>
      </w:pPr>
      <w:rPr>
        <w:rFonts w:ascii="Times New Roman" w:eastAsia="Times New Roman" w:hAnsi="Times New Roman" w:cs="Times New Roman" w:hint="default"/>
        <w:b/>
        <w:bCs/>
        <w:spacing w:val="-5"/>
        <w:w w:val="100"/>
        <w:sz w:val="24"/>
        <w:szCs w:val="24"/>
        <w:lang w:val="lv-LV" w:eastAsia="en-US" w:bidi="ar-SA"/>
      </w:rPr>
    </w:lvl>
    <w:lvl w:ilvl="1">
      <w:start w:val="1"/>
      <w:numFmt w:val="decimal"/>
      <w:lvlText w:val="%1.%2."/>
      <w:lvlJc w:val="left"/>
      <w:pPr>
        <w:ind w:left="686" w:hanging="428"/>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075" w:hanging="720"/>
        <w:jc w:val="right"/>
      </w:pPr>
      <w:rPr>
        <w:rFonts w:ascii="Times New Roman" w:eastAsia="Times New Roman" w:hAnsi="Times New Roman" w:cs="Times New Roman" w:hint="default"/>
        <w:spacing w:val="-6"/>
        <w:w w:val="95"/>
        <w:sz w:val="24"/>
        <w:szCs w:val="24"/>
        <w:lang w:val="lv-LV" w:eastAsia="en-US" w:bidi="ar-SA"/>
      </w:rPr>
    </w:lvl>
    <w:lvl w:ilvl="3">
      <w:numFmt w:val="bullet"/>
      <w:lvlText w:val=""/>
      <w:lvlJc w:val="left"/>
      <w:pPr>
        <w:ind w:left="1536" w:hanging="363"/>
      </w:pPr>
      <w:rPr>
        <w:rFonts w:ascii="Wingdings" w:eastAsia="Wingdings" w:hAnsi="Wingdings" w:cs="Wingdings" w:hint="default"/>
        <w:w w:val="100"/>
        <w:sz w:val="24"/>
        <w:szCs w:val="24"/>
        <w:lang w:val="lv-LV" w:eastAsia="en-US" w:bidi="ar-SA"/>
      </w:rPr>
    </w:lvl>
    <w:lvl w:ilvl="4">
      <w:numFmt w:val="bullet"/>
      <w:lvlText w:val="•"/>
      <w:lvlJc w:val="left"/>
      <w:pPr>
        <w:ind w:left="2680" w:hanging="363"/>
      </w:pPr>
      <w:rPr>
        <w:rFonts w:hint="default"/>
        <w:lang w:val="lv-LV" w:eastAsia="en-US" w:bidi="ar-SA"/>
      </w:rPr>
    </w:lvl>
    <w:lvl w:ilvl="5">
      <w:numFmt w:val="bullet"/>
      <w:lvlText w:val="•"/>
      <w:lvlJc w:val="left"/>
      <w:pPr>
        <w:ind w:left="3820" w:hanging="363"/>
      </w:pPr>
      <w:rPr>
        <w:rFonts w:hint="default"/>
        <w:lang w:val="lv-LV" w:eastAsia="en-US" w:bidi="ar-SA"/>
      </w:rPr>
    </w:lvl>
    <w:lvl w:ilvl="6">
      <w:numFmt w:val="bullet"/>
      <w:lvlText w:val="•"/>
      <w:lvlJc w:val="left"/>
      <w:pPr>
        <w:ind w:left="4960" w:hanging="363"/>
      </w:pPr>
      <w:rPr>
        <w:rFonts w:hint="default"/>
        <w:lang w:val="lv-LV" w:eastAsia="en-US" w:bidi="ar-SA"/>
      </w:rPr>
    </w:lvl>
    <w:lvl w:ilvl="7">
      <w:numFmt w:val="bullet"/>
      <w:lvlText w:val="•"/>
      <w:lvlJc w:val="left"/>
      <w:pPr>
        <w:ind w:left="6100" w:hanging="363"/>
      </w:pPr>
      <w:rPr>
        <w:rFonts w:hint="default"/>
        <w:lang w:val="lv-LV" w:eastAsia="en-US" w:bidi="ar-SA"/>
      </w:rPr>
    </w:lvl>
    <w:lvl w:ilvl="8">
      <w:numFmt w:val="bullet"/>
      <w:lvlText w:val="•"/>
      <w:lvlJc w:val="left"/>
      <w:pPr>
        <w:ind w:left="7240" w:hanging="363"/>
      </w:pPr>
      <w:rPr>
        <w:rFonts w:hint="default"/>
        <w:lang w:val="lv-LV"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U3sTCzNDM1sbQwNTZQ0lEKTi0uzszPAykwrgUATuQoCywAAAA="/>
  </w:docVars>
  <w:rsids>
    <w:rsidRoot w:val="00082A8D"/>
    <w:rsid w:val="00082A8D"/>
    <w:rsid w:val="00425EBA"/>
    <w:rsid w:val="004E0BAB"/>
    <w:rsid w:val="00542665"/>
    <w:rsid w:val="006E0C71"/>
    <w:rsid w:val="00753DB0"/>
    <w:rsid w:val="00C9425D"/>
    <w:rsid w:val="00CF70FC"/>
    <w:rsid w:val="00E4334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F59853"/>
  <w15:docId w15:val="{CCCB4DC7-7303-41A2-91CF-5344CD99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rPr>
      <w:rFonts w:ascii="Times New Roman" w:eastAsia="Times New Roman" w:hAnsi="Times New Roman" w:cs="Times New Roman"/>
      <w:lang w:val="lv-LV"/>
    </w:rPr>
  </w:style>
  <w:style w:type="paragraph" w:styleId="Virsraksts1">
    <w:name w:val="heading 1"/>
    <w:basedOn w:val="Parasts"/>
    <w:uiPriority w:val="1"/>
    <w:qFormat/>
    <w:pPr>
      <w:spacing w:line="274" w:lineRule="exact"/>
      <w:ind w:left="682" w:hanging="420"/>
      <w:jc w:val="both"/>
      <w:outlineLvl w:val="0"/>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686" w:hanging="432"/>
      <w:jc w:val="both"/>
    </w:pPr>
    <w:rPr>
      <w:sz w:val="24"/>
      <w:szCs w:val="24"/>
    </w:rPr>
  </w:style>
  <w:style w:type="paragraph" w:styleId="Nosaukums">
    <w:name w:val="Title"/>
    <w:basedOn w:val="Parasts"/>
    <w:uiPriority w:val="1"/>
    <w:qFormat/>
    <w:pPr>
      <w:spacing w:before="71"/>
      <w:ind w:right="257"/>
      <w:jc w:val="right"/>
    </w:pPr>
    <w:rPr>
      <w:b/>
      <w:bCs/>
      <w:sz w:val="29"/>
      <w:szCs w:val="29"/>
    </w:rPr>
  </w:style>
  <w:style w:type="paragraph" w:styleId="Sarakstarindkopa">
    <w:name w:val="List Paragraph"/>
    <w:basedOn w:val="Parasts"/>
    <w:uiPriority w:val="1"/>
    <w:qFormat/>
    <w:pPr>
      <w:ind w:left="1536" w:hanging="360"/>
      <w:jc w:val="both"/>
    </w:pPr>
  </w:style>
  <w:style w:type="paragraph" w:customStyle="1" w:styleId="TableParagraph">
    <w:name w:val="Table Paragraph"/>
    <w:basedOn w:val="Parasts"/>
    <w:uiPriority w:val="1"/>
    <w:qFormat/>
    <w:pPr>
      <w:spacing w:line="216" w:lineRule="exact"/>
    </w:pPr>
  </w:style>
  <w:style w:type="character" w:styleId="Izclums">
    <w:name w:val="Emphasis"/>
    <w:basedOn w:val="Noklusjumarindkopasfonts"/>
    <w:uiPriority w:val="20"/>
    <w:qFormat/>
    <w:rsid w:val="00C9425D"/>
    <w:rPr>
      <w:i/>
      <w:iCs/>
    </w:rPr>
  </w:style>
  <w:style w:type="paragraph" w:customStyle="1" w:styleId="msolistparagraphcxspmiddlefe554092f9eed91ead9add6d8d47629b">
    <w:name w:val="msolistparagraphcxspmiddle_fe554092f9eed91ead9add6d8d47629b"/>
    <w:basedOn w:val="Parasts"/>
    <w:uiPriority w:val="99"/>
    <w:rsid w:val="00C9425D"/>
    <w:pPr>
      <w:widowControl/>
      <w:autoSpaceDE/>
      <w:autoSpaceDN/>
      <w:spacing w:before="100" w:beforeAutospacing="1" w:after="100" w:afterAutospacing="1"/>
    </w:pPr>
    <w:rPr>
      <w:rFonts w:eastAsiaTheme="minorHAnsi"/>
      <w:sz w:val="24"/>
      <w:szCs w:val="24"/>
      <w:lang w:eastAsia="lv-LV" w:bidi="lo-LA"/>
    </w:rPr>
  </w:style>
  <w:style w:type="paragraph" w:styleId="Balonteksts">
    <w:name w:val="Balloon Text"/>
    <w:basedOn w:val="Parasts"/>
    <w:link w:val="BalontekstsRakstz"/>
    <w:uiPriority w:val="99"/>
    <w:semiHidden/>
    <w:unhideWhenUsed/>
    <w:rsid w:val="00E4334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334C"/>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739030">
      <w:bodyDiv w:val="1"/>
      <w:marLeft w:val="0"/>
      <w:marRight w:val="0"/>
      <w:marTop w:val="0"/>
      <w:marBottom w:val="0"/>
      <w:divBdr>
        <w:top w:val="none" w:sz="0" w:space="0" w:color="auto"/>
        <w:left w:val="none" w:sz="0" w:space="0" w:color="auto"/>
        <w:bottom w:val="none" w:sz="0" w:space="0" w:color="auto"/>
        <w:right w:val="none" w:sz="0" w:space="0" w:color="auto"/>
      </w:divBdr>
    </w:div>
    <w:div w:id="1373461764">
      <w:bodyDiv w:val="1"/>
      <w:marLeft w:val="0"/>
      <w:marRight w:val="0"/>
      <w:marTop w:val="0"/>
      <w:marBottom w:val="0"/>
      <w:divBdr>
        <w:top w:val="none" w:sz="0" w:space="0" w:color="auto"/>
        <w:left w:val="none" w:sz="0" w:space="0" w:color="auto"/>
        <w:bottom w:val="none" w:sz="0" w:space="0" w:color="auto"/>
        <w:right w:val="none" w:sz="0" w:space="0" w:color="auto"/>
      </w:divBdr>
    </w:div>
    <w:div w:id="1556349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9857</Words>
  <Characters>5620</Characters>
  <Application>Microsoft Office Word</Application>
  <DocSecurity>4</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Latvijas Republikas Patentu valde</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Korte</dc:creator>
  <cp:lastModifiedBy>Jānis Guobis</cp:lastModifiedBy>
  <cp:revision>2</cp:revision>
  <cp:lastPrinted>2020-09-30T07:23:00Z</cp:lastPrinted>
  <dcterms:created xsi:type="dcterms:W3CDTF">2020-10-01T06:10:00Z</dcterms:created>
  <dcterms:modified xsi:type="dcterms:W3CDTF">2020-10-01T06:10:00Z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2020-03-04T00:00:00Z</vt:filetime>
  </property>
  <property fmtid="{D5CDD505-2E9C-101B-9397-08002B2CF9AE}" pid="3" name="Creator">
    <vt:lpwstr>Microsoft® Word 2016</vt:lpwstr>
  </property>
  <property fmtid="{D5CDD505-2E9C-101B-9397-08002B2CF9AE}" pid="4" name="LastSaved">
    <vt:filetime>2020-09-09T00:00:00Z</vt:filetime>
  </property>
</Properties>
</file>